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67" w:rsidRPr="00BC71C5" w:rsidRDefault="00700D67" w:rsidP="00375FB9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22"/>
        </w:rPr>
      </w:pPr>
      <w:r w:rsidRPr="00BC71C5">
        <w:rPr>
          <w:rFonts w:ascii="Times New Roman" w:hAnsi="Times New Roman" w:cs="Times New Roman"/>
          <w:color w:val="auto"/>
          <w:sz w:val="36"/>
          <w:szCs w:val="22"/>
        </w:rPr>
        <w:t xml:space="preserve">COSTI </w:t>
      </w:r>
      <w:r w:rsidR="00EC3B88" w:rsidRPr="00BC71C5">
        <w:rPr>
          <w:rFonts w:ascii="Times New Roman" w:hAnsi="Times New Roman" w:cs="Times New Roman"/>
          <w:color w:val="auto"/>
          <w:sz w:val="36"/>
          <w:szCs w:val="22"/>
        </w:rPr>
        <w:t>AMMISSIBILI</w:t>
      </w:r>
    </w:p>
    <w:p w:rsidR="00B51923" w:rsidRPr="00EF5ADA" w:rsidRDefault="00B51923" w:rsidP="00B51923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EF5ADA">
        <w:rPr>
          <w:rFonts w:ascii="Times New Roman" w:hAnsi="Times New Roman" w:cs="Times New Roman"/>
          <w:color w:val="auto"/>
          <w:u w:val="single"/>
        </w:rPr>
        <w:t>TIPOLOGIA DI COSTI</w:t>
      </w:r>
    </w:p>
    <w:p w:rsidR="00B51923" w:rsidRPr="00EF5ADA" w:rsidRDefault="00B51923" w:rsidP="00B51923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8C2E2E" w:rsidRPr="00813834" w:rsidRDefault="006B4E5F" w:rsidP="00971F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5ADA">
        <w:rPr>
          <w:rFonts w:ascii="Times New Roman" w:hAnsi="Times New Roman"/>
          <w:sz w:val="24"/>
          <w:szCs w:val="24"/>
        </w:rPr>
        <w:t>I</w:t>
      </w:r>
      <w:r w:rsidR="008C2E2E" w:rsidRPr="00EF5ADA">
        <w:rPr>
          <w:rFonts w:ascii="Times New Roman" w:hAnsi="Times New Roman"/>
          <w:sz w:val="24"/>
          <w:szCs w:val="24"/>
        </w:rPr>
        <w:t xml:space="preserve"> progetti di ricerca e sperimentazione finanziati dal Ministero delle politiche agricole alimentari, forestali e del turismo</w:t>
      </w:r>
      <w:r w:rsidR="00B116B4" w:rsidRPr="00EF5ADA">
        <w:rPr>
          <w:rFonts w:ascii="Times New Roman" w:hAnsi="Times New Roman"/>
          <w:sz w:val="24"/>
          <w:szCs w:val="24"/>
        </w:rPr>
        <w:t>,</w:t>
      </w:r>
      <w:r w:rsidR="008C2E2E" w:rsidRPr="00EF5ADA">
        <w:rPr>
          <w:rFonts w:ascii="Times New Roman" w:hAnsi="Times New Roman"/>
          <w:sz w:val="24"/>
          <w:szCs w:val="24"/>
        </w:rPr>
        <w:t xml:space="preserve"> </w:t>
      </w:r>
      <w:r w:rsidR="00EF5ADA" w:rsidRPr="00EF5ADA">
        <w:rPr>
          <w:rFonts w:ascii="Times New Roman" w:hAnsi="Times New Roman"/>
          <w:sz w:val="24"/>
          <w:szCs w:val="24"/>
        </w:rPr>
        <w:t xml:space="preserve">possono </w:t>
      </w:r>
      <w:r w:rsidRPr="00EF5ADA">
        <w:rPr>
          <w:rFonts w:ascii="Times New Roman" w:hAnsi="Times New Roman"/>
          <w:sz w:val="24"/>
          <w:szCs w:val="24"/>
        </w:rPr>
        <w:t>preved</w:t>
      </w:r>
      <w:r w:rsidR="00EF5ADA" w:rsidRPr="00EF5ADA">
        <w:rPr>
          <w:rFonts w:ascii="Times New Roman" w:hAnsi="Times New Roman"/>
          <w:sz w:val="24"/>
          <w:szCs w:val="24"/>
        </w:rPr>
        <w:t>ere</w:t>
      </w:r>
      <w:r w:rsidRPr="00EF5ADA">
        <w:rPr>
          <w:rFonts w:ascii="Times New Roman" w:hAnsi="Times New Roman"/>
          <w:sz w:val="24"/>
          <w:szCs w:val="24"/>
        </w:rPr>
        <w:t xml:space="preserve"> le seguenti voci di costo:</w:t>
      </w:r>
    </w:p>
    <w:p w:rsidR="007D2788" w:rsidRPr="00D72620" w:rsidRDefault="00B52B9C" w:rsidP="009A2C2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7D2788" w:rsidRPr="00D72620">
        <w:rPr>
          <w:rFonts w:ascii="Times New Roman" w:hAnsi="Times New Roman"/>
          <w:b/>
          <w:sz w:val="24"/>
          <w:szCs w:val="24"/>
          <w:u w:val="single"/>
        </w:rPr>
        <w:t>ersonale</w:t>
      </w:r>
    </w:p>
    <w:p w:rsidR="007D2788" w:rsidRPr="008474AE" w:rsidRDefault="007D2788" w:rsidP="008474AE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3B1B">
        <w:rPr>
          <w:rFonts w:ascii="Times New Roman" w:hAnsi="Times New Roman"/>
          <w:sz w:val="24"/>
          <w:szCs w:val="24"/>
        </w:rPr>
        <w:t xml:space="preserve">Sono </w:t>
      </w:r>
      <w:r w:rsidR="00AA6328" w:rsidRPr="00D43B1B">
        <w:rPr>
          <w:rFonts w:ascii="Times New Roman" w:hAnsi="Times New Roman"/>
          <w:sz w:val="24"/>
          <w:szCs w:val="24"/>
        </w:rPr>
        <w:t xml:space="preserve">i costi </w:t>
      </w:r>
      <w:r w:rsidR="00D72620" w:rsidRPr="00D43B1B">
        <w:rPr>
          <w:rFonts w:ascii="Times New Roman" w:hAnsi="Times New Roman"/>
          <w:sz w:val="24"/>
          <w:szCs w:val="24"/>
        </w:rPr>
        <w:t>riferiti a</w:t>
      </w:r>
      <w:r w:rsidR="00A011DC" w:rsidRPr="00D43B1B">
        <w:rPr>
          <w:rFonts w:ascii="Times New Roman" w:hAnsi="Times New Roman"/>
          <w:sz w:val="24"/>
          <w:szCs w:val="24"/>
        </w:rPr>
        <w:t>l personale impegnato</w:t>
      </w:r>
      <w:r w:rsidR="00EF5ADA" w:rsidRPr="00D43B1B">
        <w:rPr>
          <w:rFonts w:ascii="Times New Roman" w:hAnsi="Times New Roman"/>
          <w:sz w:val="24"/>
          <w:szCs w:val="24"/>
        </w:rPr>
        <w:t xml:space="preserve"> nelle attività di ricerca previst</w:t>
      </w:r>
      <w:r w:rsidR="002069CE" w:rsidRPr="00D43B1B">
        <w:rPr>
          <w:rFonts w:ascii="Times New Roman" w:hAnsi="Times New Roman"/>
          <w:sz w:val="24"/>
          <w:szCs w:val="24"/>
        </w:rPr>
        <w:t>o</w:t>
      </w:r>
      <w:r w:rsidR="00EF5ADA" w:rsidRPr="00D43B1B">
        <w:rPr>
          <w:rFonts w:ascii="Times New Roman" w:hAnsi="Times New Roman"/>
          <w:sz w:val="24"/>
          <w:szCs w:val="24"/>
        </w:rPr>
        <w:t xml:space="preserve"> dal progetto o di supporto ad essa, adibito a funzioni scientifiche, tecniche, </w:t>
      </w:r>
      <w:r w:rsidR="00D43B1B" w:rsidRPr="001C6C13">
        <w:rPr>
          <w:rFonts w:ascii="Times New Roman" w:hAnsi="Times New Roman"/>
          <w:sz w:val="24"/>
          <w:szCs w:val="24"/>
        </w:rPr>
        <w:t>gestionali</w:t>
      </w:r>
      <w:r w:rsidR="00EF5ADA" w:rsidRPr="001C6C13">
        <w:rPr>
          <w:rFonts w:ascii="Times New Roman" w:hAnsi="Times New Roman"/>
          <w:sz w:val="24"/>
          <w:szCs w:val="24"/>
        </w:rPr>
        <w:t>,</w:t>
      </w:r>
      <w:r w:rsidR="00EF5ADA" w:rsidRPr="00D43B1B">
        <w:rPr>
          <w:rFonts w:ascii="Times New Roman" w:hAnsi="Times New Roman"/>
          <w:sz w:val="24"/>
          <w:szCs w:val="24"/>
        </w:rPr>
        <w:t xml:space="preserve"> seco</w:t>
      </w:r>
      <w:r w:rsidR="002069CE" w:rsidRPr="00D43B1B">
        <w:rPr>
          <w:rFonts w:ascii="Times New Roman" w:hAnsi="Times New Roman"/>
          <w:sz w:val="24"/>
          <w:szCs w:val="24"/>
        </w:rPr>
        <w:t>ndo le</w:t>
      </w:r>
      <w:r w:rsidR="00EF5ADA" w:rsidRPr="00D43B1B">
        <w:rPr>
          <w:rFonts w:ascii="Times New Roman" w:hAnsi="Times New Roman"/>
          <w:sz w:val="24"/>
          <w:szCs w:val="24"/>
        </w:rPr>
        <w:t xml:space="preserve"> categorie/figure professionali previste presso gli enti beneficiari. </w:t>
      </w:r>
      <w:r w:rsidR="00667CF0" w:rsidRPr="00D43B1B">
        <w:rPr>
          <w:rFonts w:ascii="Times New Roman" w:hAnsi="Times New Roman"/>
          <w:sz w:val="24"/>
          <w:szCs w:val="24"/>
        </w:rPr>
        <w:t xml:space="preserve">Per </w:t>
      </w:r>
      <w:r w:rsidR="00EF5ADA" w:rsidRPr="00D43B1B">
        <w:rPr>
          <w:rFonts w:ascii="Times New Roman" w:hAnsi="Times New Roman"/>
          <w:sz w:val="24"/>
          <w:szCs w:val="24"/>
        </w:rPr>
        <w:t xml:space="preserve">il personale </w:t>
      </w:r>
      <w:r w:rsidR="00667CF0" w:rsidRPr="00D43B1B">
        <w:rPr>
          <w:rFonts w:ascii="Times New Roman" w:hAnsi="Times New Roman"/>
          <w:sz w:val="24"/>
          <w:szCs w:val="24"/>
        </w:rPr>
        <w:t>subordinat</w:t>
      </w:r>
      <w:r w:rsidR="00EF5ADA" w:rsidRPr="00D43B1B">
        <w:rPr>
          <w:rFonts w:ascii="Times New Roman" w:hAnsi="Times New Roman"/>
          <w:sz w:val="24"/>
          <w:szCs w:val="24"/>
        </w:rPr>
        <w:t xml:space="preserve">o, sia esso a tempo indeterminato o determinato, </w:t>
      </w:r>
      <w:r w:rsidR="002069CE" w:rsidRPr="00D43B1B">
        <w:rPr>
          <w:rFonts w:ascii="Times New Roman" w:hAnsi="Times New Roman"/>
          <w:sz w:val="24"/>
          <w:szCs w:val="24"/>
        </w:rPr>
        <w:t xml:space="preserve">il costo </w:t>
      </w:r>
      <w:r w:rsidR="00657633" w:rsidRPr="00D43B1B">
        <w:rPr>
          <w:rFonts w:ascii="Times New Roman" w:hAnsi="Times New Roman"/>
          <w:sz w:val="24"/>
          <w:szCs w:val="24"/>
        </w:rPr>
        <w:t xml:space="preserve">è </w:t>
      </w:r>
      <w:r w:rsidR="002069CE" w:rsidRPr="00D43B1B">
        <w:rPr>
          <w:rFonts w:ascii="Times New Roman" w:hAnsi="Times New Roman"/>
          <w:sz w:val="24"/>
          <w:szCs w:val="24"/>
        </w:rPr>
        <w:t xml:space="preserve">ammissibile </w:t>
      </w:r>
      <w:r w:rsidR="00657633" w:rsidRPr="00D43B1B">
        <w:rPr>
          <w:rFonts w:ascii="Times New Roman" w:hAnsi="Times New Roman"/>
          <w:sz w:val="24"/>
          <w:szCs w:val="24"/>
        </w:rPr>
        <w:t xml:space="preserve">se si riferisce al </w:t>
      </w:r>
      <w:r w:rsidR="00EF5ADA" w:rsidRPr="00D43B1B">
        <w:rPr>
          <w:rFonts w:ascii="Times New Roman" w:hAnsi="Times New Roman"/>
          <w:sz w:val="24"/>
          <w:szCs w:val="24"/>
        </w:rPr>
        <w:t>costo orario lordo calcolato</w:t>
      </w:r>
      <w:r w:rsidR="002069CE" w:rsidRPr="00D43B1B">
        <w:rPr>
          <w:rFonts w:ascii="Times New Roman" w:hAnsi="Times New Roman"/>
          <w:sz w:val="24"/>
          <w:szCs w:val="24"/>
        </w:rPr>
        <w:t xml:space="preserve">, secondo la normativa vigente, </w:t>
      </w:r>
      <w:r w:rsidR="00D43B1B" w:rsidRPr="00D43B1B">
        <w:rPr>
          <w:rFonts w:ascii="Times New Roman" w:hAnsi="Times New Roman"/>
          <w:sz w:val="24"/>
          <w:szCs w:val="24"/>
        </w:rPr>
        <w:t>sulla base di</w:t>
      </w:r>
      <w:r w:rsidR="00657633" w:rsidRPr="00D43B1B">
        <w:rPr>
          <w:rFonts w:ascii="Times New Roman" w:hAnsi="Times New Roman"/>
          <w:sz w:val="24"/>
          <w:szCs w:val="24"/>
        </w:rPr>
        <w:t xml:space="preserve"> “</w:t>
      </w:r>
      <w:r w:rsidR="00657633" w:rsidRPr="00D43B1B">
        <w:rPr>
          <w:rFonts w:ascii="Times New Roman" w:hAnsi="Times New Roman"/>
          <w:i/>
          <w:sz w:val="24"/>
          <w:szCs w:val="24"/>
        </w:rPr>
        <w:t>1.500 ore annue per i professori e i ricercatori a tempo pieno e a 750 ore per i professori e i ricercatori a tempo definito</w:t>
      </w:r>
      <w:r w:rsidR="00657633" w:rsidRPr="00D43B1B">
        <w:rPr>
          <w:rFonts w:ascii="Times New Roman" w:hAnsi="Times New Roman"/>
          <w:sz w:val="24"/>
          <w:szCs w:val="24"/>
        </w:rPr>
        <w:t xml:space="preserve">” </w:t>
      </w:r>
      <w:r w:rsidR="00E10F41">
        <w:rPr>
          <w:rFonts w:ascii="Times New Roman" w:hAnsi="Times New Roman"/>
          <w:sz w:val="24"/>
          <w:szCs w:val="24"/>
        </w:rPr>
        <w:t>(</w:t>
      </w:r>
      <w:r w:rsidR="00657633" w:rsidRPr="00D43B1B">
        <w:rPr>
          <w:rFonts w:ascii="Times New Roman" w:hAnsi="Times New Roman"/>
          <w:sz w:val="24"/>
          <w:szCs w:val="24"/>
        </w:rPr>
        <w:t>legge</w:t>
      </w:r>
      <w:r w:rsidR="00E10F41">
        <w:rPr>
          <w:rFonts w:ascii="Times New Roman" w:hAnsi="Times New Roman"/>
          <w:sz w:val="24"/>
          <w:szCs w:val="24"/>
        </w:rPr>
        <w:t xml:space="preserve"> n. </w:t>
      </w:r>
      <w:r w:rsidR="00667CF0" w:rsidRPr="00D43B1B">
        <w:rPr>
          <w:rFonts w:ascii="Times New Roman" w:hAnsi="Times New Roman"/>
          <w:sz w:val="24"/>
          <w:szCs w:val="24"/>
        </w:rPr>
        <w:t xml:space="preserve">240 del 30 dicembre 2010, </w:t>
      </w:r>
      <w:r w:rsidR="00657633" w:rsidRPr="00D43B1B">
        <w:rPr>
          <w:rFonts w:ascii="Times New Roman" w:hAnsi="Times New Roman"/>
          <w:sz w:val="24"/>
          <w:szCs w:val="24"/>
        </w:rPr>
        <w:t>articolo 6)</w:t>
      </w:r>
      <w:r w:rsidR="007159F4" w:rsidRPr="00D43B1B">
        <w:rPr>
          <w:rFonts w:ascii="Times New Roman" w:hAnsi="Times New Roman"/>
          <w:sz w:val="24"/>
          <w:szCs w:val="24"/>
        </w:rPr>
        <w:t xml:space="preserve">. Per il calcolo del costo orario </w:t>
      </w:r>
      <w:r w:rsidR="008C329D" w:rsidRPr="00D43B1B">
        <w:rPr>
          <w:rFonts w:ascii="Times New Roman" w:hAnsi="Times New Roman"/>
          <w:sz w:val="24"/>
          <w:szCs w:val="24"/>
        </w:rPr>
        <w:t xml:space="preserve">dei lavoratori subordinati </w:t>
      </w:r>
      <w:r w:rsidR="007159F4" w:rsidRPr="00D43B1B">
        <w:rPr>
          <w:rFonts w:ascii="Times New Roman" w:hAnsi="Times New Roman"/>
          <w:sz w:val="24"/>
          <w:szCs w:val="24"/>
        </w:rPr>
        <w:t xml:space="preserve">si assume come base il costo effettivo annuo lordo (retribuzione effettiva annua lorda diretta ed indiretta, </w:t>
      </w:r>
      <w:r w:rsidR="008C329D" w:rsidRPr="00D43B1B">
        <w:rPr>
          <w:rFonts w:ascii="Times New Roman" w:hAnsi="Times New Roman"/>
          <w:sz w:val="24"/>
          <w:szCs w:val="24"/>
        </w:rPr>
        <w:t>TFR</w:t>
      </w:r>
      <w:r w:rsidR="007159F4" w:rsidRPr="00D43B1B">
        <w:rPr>
          <w:rFonts w:ascii="Times New Roman" w:hAnsi="Times New Roman"/>
          <w:sz w:val="24"/>
          <w:szCs w:val="24"/>
        </w:rPr>
        <w:t>, oneri previdenziali e assistenziali con esclusione di ogni elemento discrezionale “</w:t>
      </w:r>
      <w:r w:rsidR="007159F4" w:rsidRPr="00D43B1B">
        <w:rPr>
          <w:rFonts w:ascii="Times New Roman" w:hAnsi="Times New Roman"/>
          <w:i/>
          <w:sz w:val="24"/>
          <w:szCs w:val="24"/>
        </w:rPr>
        <w:t>ad personam</w:t>
      </w:r>
      <w:r w:rsidR="007159F4" w:rsidRPr="00D43B1B">
        <w:rPr>
          <w:rFonts w:ascii="Times New Roman" w:hAnsi="Times New Roman"/>
          <w:sz w:val="24"/>
          <w:szCs w:val="24"/>
        </w:rPr>
        <w:t>”: indennità di trasferta, lavoro straordinario, premi di varia natura</w:t>
      </w:r>
      <w:r w:rsidR="00E10F41">
        <w:rPr>
          <w:rFonts w:ascii="Times New Roman" w:hAnsi="Times New Roman"/>
          <w:sz w:val="24"/>
          <w:szCs w:val="24"/>
        </w:rPr>
        <w:t>,</w:t>
      </w:r>
      <w:r w:rsidR="007159F4" w:rsidRPr="00D43B1B">
        <w:rPr>
          <w:rFonts w:ascii="Times New Roman" w:hAnsi="Times New Roman"/>
          <w:sz w:val="24"/>
          <w:szCs w:val="24"/>
        </w:rPr>
        <w:t xml:space="preserve"> ecc.)</w:t>
      </w:r>
      <w:r w:rsidR="008C329D" w:rsidRPr="00D43B1B">
        <w:rPr>
          <w:rFonts w:ascii="Times New Roman" w:hAnsi="Times New Roman"/>
          <w:sz w:val="24"/>
          <w:szCs w:val="24"/>
        </w:rPr>
        <w:t>; gli ANF sono ammessi solo per il personale a tempo determinato per gli enti pubblici purché sia dimostrato che la loro erogazione rappresenti un costo per il datore di lavoro.</w:t>
      </w:r>
      <w:r w:rsidR="008474AE">
        <w:rPr>
          <w:rFonts w:ascii="Times New Roman" w:hAnsi="Times New Roman"/>
          <w:sz w:val="24"/>
          <w:szCs w:val="24"/>
        </w:rPr>
        <w:t xml:space="preserve"> </w:t>
      </w:r>
      <w:r w:rsidR="00667CF0" w:rsidRPr="008474AE">
        <w:rPr>
          <w:rFonts w:ascii="Times New Roman" w:hAnsi="Times New Roman"/>
          <w:sz w:val="24"/>
          <w:szCs w:val="24"/>
        </w:rPr>
        <w:t>Il personale è</w:t>
      </w:r>
      <w:r w:rsidR="00BC4D28" w:rsidRPr="008474AE">
        <w:rPr>
          <w:rFonts w:ascii="Times New Roman" w:hAnsi="Times New Roman"/>
          <w:sz w:val="24"/>
          <w:szCs w:val="24"/>
        </w:rPr>
        <w:t xml:space="preserve"> distinto</w:t>
      </w:r>
      <w:r w:rsidR="00667CF0" w:rsidRPr="008474AE">
        <w:rPr>
          <w:rFonts w:ascii="Times New Roman" w:hAnsi="Times New Roman"/>
          <w:sz w:val="24"/>
          <w:szCs w:val="24"/>
        </w:rPr>
        <w:t xml:space="preserve"> </w:t>
      </w:r>
      <w:r w:rsidR="00BC4D28" w:rsidRPr="008474AE">
        <w:rPr>
          <w:rFonts w:ascii="Times New Roman" w:hAnsi="Times New Roman"/>
          <w:sz w:val="24"/>
          <w:szCs w:val="24"/>
        </w:rPr>
        <w:t>in:</w:t>
      </w:r>
    </w:p>
    <w:p w:rsidR="007D4775" w:rsidRPr="00D43B1B" w:rsidRDefault="00FD03B0" w:rsidP="008474AE">
      <w:pPr>
        <w:autoSpaceDE w:val="0"/>
        <w:autoSpaceDN w:val="0"/>
        <w:adjustRightInd w:val="0"/>
        <w:spacing w:after="0" w:line="240" w:lineRule="auto"/>
        <w:ind w:left="850" w:hanging="425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D43B1B">
        <w:rPr>
          <w:rFonts w:ascii="Times New Roman" w:hAnsi="Times New Roman"/>
          <w:sz w:val="24"/>
          <w:szCs w:val="24"/>
        </w:rPr>
        <w:t xml:space="preserve">A1) </w:t>
      </w:r>
      <w:r w:rsidR="002B61C5" w:rsidRPr="00D43B1B">
        <w:rPr>
          <w:rFonts w:ascii="Times New Roman" w:hAnsi="Times New Roman"/>
          <w:sz w:val="24"/>
          <w:szCs w:val="24"/>
          <w:u w:val="single"/>
        </w:rPr>
        <w:t>p</w:t>
      </w:r>
      <w:r w:rsidR="007D2788" w:rsidRPr="00D43B1B">
        <w:rPr>
          <w:rFonts w:ascii="Times New Roman" w:hAnsi="Times New Roman"/>
          <w:sz w:val="24"/>
          <w:szCs w:val="24"/>
          <w:u w:val="single"/>
        </w:rPr>
        <w:t>ersonale a tempo indeterminato</w:t>
      </w:r>
      <w:r w:rsidR="009C4295" w:rsidRPr="00D43B1B">
        <w:rPr>
          <w:rFonts w:ascii="Times New Roman" w:hAnsi="Times New Roman"/>
          <w:sz w:val="24"/>
          <w:szCs w:val="24"/>
          <w:u w:val="single"/>
        </w:rPr>
        <w:t>:</w:t>
      </w:r>
      <w:r w:rsidR="009C4295" w:rsidRPr="00D43B1B">
        <w:rPr>
          <w:rFonts w:ascii="Times New Roman" w:hAnsi="Times New Roman"/>
          <w:sz w:val="24"/>
          <w:szCs w:val="24"/>
        </w:rPr>
        <w:t xml:space="preserve"> </w:t>
      </w:r>
      <w:r w:rsidR="007D2788" w:rsidRPr="00D43B1B">
        <w:rPr>
          <w:rFonts w:ascii="Times New Roman" w:hAnsi="Times New Roman"/>
          <w:sz w:val="24"/>
          <w:szCs w:val="24"/>
        </w:rPr>
        <w:t>impegnato</w:t>
      </w:r>
      <w:r w:rsidR="00F1655F" w:rsidRPr="00D43B1B">
        <w:rPr>
          <w:rFonts w:ascii="Times New Roman" w:hAnsi="Times New Roman"/>
          <w:sz w:val="24"/>
          <w:szCs w:val="24"/>
        </w:rPr>
        <w:t xml:space="preserve"> nello svolgimento del progetto per almeno 250 ore l’anno.</w:t>
      </w:r>
      <w:r w:rsidR="00172FB8" w:rsidRPr="00D43B1B">
        <w:rPr>
          <w:rFonts w:ascii="Times New Roman" w:hAnsi="Times New Roman"/>
          <w:sz w:val="24"/>
          <w:szCs w:val="24"/>
        </w:rPr>
        <w:t xml:space="preserve"> </w:t>
      </w:r>
      <w:r w:rsidR="00657633" w:rsidRPr="00D43B1B">
        <w:rPr>
          <w:rFonts w:ascii="Times New Roman" w:hAnsi="Times New Roman"/>
          <w:sz w:val="24"/>
          <w:szCs w:val="24"/>
        </w:rPr>
        <w:t xml:space="preserve">Tale </w:t>
      </w:r>
      <w:r w:rsidR="00911875" w:rsidRPr="00D43B1B">
        <w:rPr>
          <w:rFonts w:ascii="Times New Roman" w:hAnsi="Times New Roman"/>
          <w:sz w:val="24"/>
          <w:szCs w:val="24"/>
        </w:rPr>
        <w:t>voce</w:t>
      </w:r>
      <w:r w:rsidR="00911875" w:rsidRPr="00D43B1B">
        <w:rPr>
          <w:rFonts w:ascii="Times New Roman" w:hAnsi="Times New Roman"/>
          <w:b/>
          <w:sz w:val="24"/>
          <w:szCs w:val="24"/>
        </w:rPr>
        <w:t xml:space="preserve"> </w:t>
      </w:r>
      <w:r w:rsidR="00911875" w:rsidRPr="00D43B1B">
        <w:rPr>
          <w:rFonts w:ascii="Times New Roman" w:hAnsi="Times New Roman"/>
          <w:sz w:val="24"/>
          <w:szCs w:val="24"/>
        </w:rPr>
        <w:t xml:space="preserve">di </w:t>
      </w:r>
      <w:r w:rsidR="006A74C4" w:rsidRPr="00D43B1B">
        <w:rPr>
          <w:rFonts w:ascii="Times New Roman" w:hAnsi="Times New Roman"/>
          <w:sz w:val="24"/>
          <w:szCs w:val="24"/>
        </w:rPr>
        <w:t>costo</w:t>
      </w:r>
      <w:r w:rsidR="00911875" w:rsidRPr="00D43B1B">
        <w:rPr>
          <w:rFonts w:ascii="Times New Roman" w:hAnsi="Times New Roman"/>
          <w:sz w:val="24"/>
          <w:szCs w:val="24"/>
        </w:rPr>
        <w:t xml:space="preserve"> è ammessa a contributo per i soli </w:t>
      </w:r>
      <w:r w:rsidR="002B61C5" w:rsidRPr="00D43B1B">
        <w:rPr>
          <w:rFonts w:ascii="Times New Roman" w:hAnsi="Times New Roman"/>
          <w:sz w:val="24"/>
          <w:szCs w:val="24"/>
        </w:rPr>
        <w:t>enti e i</w:t>
      </w:r>
      <w:r w:rsidR="00911875" w:rsidRPr="00D43B1B">
        <w:rPr>
          <w:rFonts w:ascii="Times New Roman" w:hAnsi="Times New Roman"/>
          <w:sz w:val="24"/>
          <w:szCs w:val="24"/>
        </w:rPr>
        <w:t>stituti di ricerca privat</w:t>
      </w:r>
      <w:r w:rsidR="007F28EA" w:rsidRPr="00D43B1B">
        <w:rPr>
          <w:rFonts w:ascii="Times New Roman" w:hAnsi="Times New Roman"/>
          <w:sz w:val="24"/>
          <w:szCs w:val="24"/>
        </w:rPr>
        <w:t>i</w:t>
      </w:r>
      <w:r w:rsidR="003C3996" w:rsidRPr="00D43B1B">
        <w:rPr>
          <w:rFonts w:ascii="Times New Roman" w:hAnsi="Times New Roman"/>
          <w:b/>
          <w:sz w:val="24"/>
          <w:szCs w:val="24"/>
        </w:rPr>
        <w:t>, qualora non si usufruisc</w:t>
      </w:r>
      <w:r w:rsidR="00BC4D28" w:rsidRPr="00D43B1B">
        <w:rPr>
          <w:rFonts w:ascii="Times New Roman" w:hAnsi="Times New Roman"/>
          <w:b/>
          <w:sz w:val="24"/>
          <w:szCs w:val="24"/>
        </w:rPr>
        <w:t>a</w:t>
      </w:r>
      <w:r w:rsidR="00E10F41">
        <w:rPr>
          <w:rFonts w:ascii="Times New Roman" w:hAnsi="Times New Roman"/>
          <w:b/>
          <w:sz w:val="24"/>
          <w:szCs w:val="24"/>
        </w:rPr>
        <w:t>no</w:t>
      </w:r>
      <w:r w:rsidR="003C3996" w:rsidRPr="00D43B1B">
        <w:rPr>
          <w:rFonts w:ascii="Times New Roman" w:hAnsi="Times New Roman"/>
          <w:b/>
          <w:sz w:val="24"/>
          <w:szCs w:val="24"/>
        </w:rPr>
        <w:t xml:space="preserve"> </w:t>
      </w:r>
      <w:r w:rsidR="00D43B1B">
        <w:rPr>
          <w:rFonts w:ascii="Times New Roman" w:hAnsi="Times New Roman"/>
          <w:b/>
          <w:sz w:val="24"/>
          <w:szCs w:val="24"/>
        </w:rPr>
        <w:t>di</w:t>
      </w:r>
      <w:r w:rsidR="00911875" w:rsidRPr="00D43B1B">
        <w:rPr>
          <w:rFonts w:ascii="Times New Roman" w:hAnsi="Times New Roman"/>
          <w:b/>
          <w:sz w:val="24"/>
          <w:szCs w:val="24"/>
        </w:rPr>
        <w:t xml:space="preserve"> finanziamenti pubblici</w:t>
      </w:r>
      <w:r w:rsidR="007159F4" w:rsidRPr="00D43B1B">
        <w:rPr>
          <w:rFonts w:ascii="Times New Roman" w:hAnsi="Times New Roman"/>
          <w:b/>
          <w:sz w:val="24"/>
          <w:szCs w:val="24"/>
        </w:rPr>
        <w:t xml:space="preserve"> per la stessa voce nel periodo di riferimento</w:t>
      </w:r>
      <w:r w:rsidR="005514EB" w:rsidRPr="00D43B1B">
        <w:rPr>
          <w:rFonts w:ascii="Times New Roman" w:hAnsi="Times New Roman"/>
          <w:sz w:val="24"/>
          <w:szCs w:val="24"/>
        </w:rPr>
        <w:t>. Nel caso</w:t>
      </w:r>
      <w:r w:rsidR="007D2788" w:rsidRPr="00D43B1B">
        <w:rPr>
          <w:rFonts w:ascii="Times New Roman" w:hAnsi="Times New Roman"/>
          <w:sz w:val="24"/>
          <w:szCs w:val="24"/>
        </w:rPr>
        <w:t xml:space="preserve"> </w:t>
      </w:r>
      <w:r w:rsidR="005514EB" w:rsidRPr="00D43B1B">
        <w:rPr>
          <w:rFonts w:ascii="Times New Roman" w:hAnsi="Times New Roman"/>
          <w:sz w:val="24"/>
          <w:szCs w:val="24"/>
        </w:rPr>
        <w:t>de</w:t>
      </w:r>
      <w:r w:rsidR="00911875" w:rsidRPr="00D43B1B">
        <w:rPr>
          <w:rFonts w:ascii="Times New Roman" w:hAnsi="Times New Roman"/>
          <w:sz w:val="24"/>
          <w:szCs w:val="24"/>
        </w:rPr>
        <w:t xml:space="preserve">gli </w:t>
      </w:r>
      <w:r w:rsidR="002B61C5" w:rsidRPr="00D43B1B">
        <w:rPr>
          <w:rFonts w:ascii="Times New Roman" w:hAnsi="Times New Roman"/>
          <w:sz w:val="24"/>
          <w:szCs w:val="24"/>
        </w:rPr>
        <w:t>e</w:t>
      </w:r>
      <w:r w:rsidR="00911875" w:rsidRPr="00D43B1B">
        <w:rPr>
          <w:rFonts w:ascii="Times New Roman" w:hAnsi="Times New Roman"/>
          <w:sz w:val="24"/>
          <w:szCs w:val="24"/>
        </w:rPr>
        <w:t>nti di ricerca pubblici</w:t>
      </w:r>
      <w:r w:rsidR="00F52443" w:rsidRPr="00D43B1B">
        <w:rPr>
          <w:rFonts w:ascii="Times New Roman" w:hAnsi="Times New Roman"/>
          <w:sz w:val="24"/>
          <w:szCs w:val="24"/>
        </w:rPr>
        <w:t xml:space="preserve"> e </w:t>
      </w:r>
      <w:r w:rsidR="007F28EA" w:rsidRPr="00D43B1B">
        <w:rPr>
          <w:rFonts w:ascii="Times New Roman" w:hAnsi="Times New Roman"/>
          <w:sz w:val="24"/>
          <w:szCs w:val="24"/>
        </w:rPr>
        <w:t>de</w:t>
      </w:r>
      <w:r w:rsidR="00F52443" w:rsidRPr="00D43B1B">
        <w:rPr>
          <w:rFonts w:ascii="Times New Roman" w:hAnsi="Times New Roman"/>
          <w:sz w:val="24"/>
          <w:szCs w:val="24"/>
        </w:rPr>
        <w:t xml:space="preserve">gli </w:t>
      </w:r>
      <w:r w:rsidR="002B61C5" w:rsidRPr="00D43B1B">
        <w:rPr>
          <w:rFonts w:ascii="Times New Roman" w:hAnsi="Times New Roman"/>
          <w:sz w:val="24"/>
          <w:szCs w:val="24"/>
        </w:rPr>
        <w:t>e</w:t>
      </w:r>
      <w:r w:rsidR="00F52443" w:rsidRPr="00D43B1B">
        <w:rPr>
          <w:rFonts w:ascii="Times New Roman" w:hAnsi="Times New Roman"/>
          <w:sz w:val="24"/>
          <w:szCs w:val="24"/>
        </w:rPr>
        <w:t xml:space="preserve">nti e </w:t>
      </w:r>
      <w:r w:rsidR="002B61C5" w:rsidRPr="00D43B1B">
        <w:rPr>
          <w:rFonts w:ascii="Times New Roman" w:hAnsi="Times New Roman"/>
          <w:sz w:val="24"/>
          <w:szCs w:val="24"/>
        </w:rPr>
        <w:t>c</w:t>
      </w:r>
      <w:r w:rsidR="005514EB" w:rsidRPr="00D43B1B">
        <w:rPr>
          <w:rFonts w:ascii="Times New Roman" w:hAnsi="Times New Roman"/>
          <w:sz w:val="24"/>
          <w:szCs w:val="24"/>
        </w:rPr>
        <w:t>entri di ricerca privati</w:t>
      </w:r>
      <w:r w:rsidR="005C6F7D" w:rsidRPr="00D43B1B">
        <w:rPr>
          <w:rFonts w:ascii="Times New Roman" w:hAnsi="Times New Roman"/>
          <w:sz w:val="24"/>
          <w:szCs w:val="24"/>
        </w:rPr>
        <w:t xml:space="preserve"> per i quali il perso</w:t>
      </w:r>
      <w:r w:rsidR="006A74C4" w:rsidRPr="00D43B1B">
        <w:rPr>
          <w:rFonts w:ascii="Times New Roman" w:hAnsi="Times New Roman"/>
          <w:sz w:val="24"/>
          <w:szCs w:val="24"/>
        </w:rPr>
        <w:t>nale a tempo indeterminato è</w:t>
      </w:r>
      <w:r w:rsidR="005C6F7D" w:rsidRPr="00D43B1B">
        <w:rPr>
          <w:rFonts w:ascii="Times New Roman" w:hAnsi="Times New Roman"/>
          <w:sz w:val="24"/>
          <w:szCs w:val="24"/>
        </w:rPr>
        <w:t xml:space="preserve"> retribuito da risorse pubbliche</w:t>
      </w:r>
      <w:r w:rsidR="007F28EA" w:rsidRPr="00D43B1B">
        <w:rPr>
          <w:rFonts w:ascii="Times New Roman" w:hAnsi="Times New Roman"/>
          <w:sz w:val="24"/>
          <w:szCs w:val="24"/>
        </w:rPr>
        <w:t>,</w:t>
      </w:r>
      <w:r w:rsidR="006A74C4" w:rsidRPr="00D43B1B">
        <w:rPr>
          <w:rFonts w:ascii="Times New Roman" w:hAnsi="Times New Roman"/>
          <w:sz w:val="24"/>
          <w:szCs w:val="24"/>
        </w:rPr>
        <w:t xml:space="preserve"> </w:t>
      </w:r>
      <w:r w:rsidR="00CC5F79" w:rsidRPr="00D43B1B">
        <w:rPr>
          <w:rFonts w:ascii="Times New Roman" w:hAnsi="Times New Roman"/>
          <w:sz w:val="24"/>
          <w:szCs w:val="24"/>
        </w:rPr>
        <w:t xml:space="preserve">il costo </w:t>
      </w:r>
      <w:r w:rsidR="006A74C4" w:rsidRPr="00D43B1B">
        <w:rPr>
          <w:rFonts w:ascii="Times New Roman" w:hAnsi="Times New Roman"/>
          <w:sz w:val="24"/>
          <w:szCs w:val="24"/>
        </w:rPr>
        <w:t>non può essere ammess</w:t>
      </w:r>
      <w:r w:rsidR="00CC5F79" w:rsidRPr="00D43B1B">
        <w:rPr>
          <w:rFonts w:ascii="Times New Roman" w:hAnsi="Times New Roman"/>
          <w:sz w:val="24"/>
          <w:szCs w:val="24"/>
        </w:rPr>
        <w:t>o</w:t>
      </w:r>
      <w:r w:rsidR="00B116B4" w:rsidRPr="00D43B1B">
        <w:rPr>
          <w:rFonts w:ascii="Times New Roman" w:hAnsi="Times New Roman"/>
          <w:sz w:val="24"/>
          <w:szCs w:val="24"/>
        </w:rPr>
        <w:t xml:space="preserve"> </w:t>
      </w:r>
      <w:r w:rsidR="00695336" w:rsidRPr="00D43B1B">
        <w:rPr>
          <w:rFonts w:ascii="Times New Roman" w:hAnsi="Times New Roman"/>
          <w:sz w:val="24"/>
          <w:szCs w:val="24"/>
        </w:rPr>
        <w:t>a contributo</w:t>
      </w:r>
      <w:r w:rsidR="00B116B4" w:rsidRPr="00D43B1B">
        <w:rPr>
          <w:rFonts w:ascii="Times New Roman" w:hAnsi="Times New Roman"/>
          <w:sz w:val="24"/>
          <w:szCs w:val="24"/>
        </w:rPr>
        <w:t>.</w:t>
      </w:r>
      <w:r w:rsidR="00DC3720" w:rsidRPr="00D43B1B">
        <w:rPr>
          <w:rFonts w:ascii="Times New Roman" w:hAnsi="Times New Roman"/>
          <w:sz w:val="24"/>
          <w:szCs w:val="24"/>
        </w:rPr>
        <w:t xml:space="preserve"> </w:t>
      </w:r>
      <w:r w:rsidR="007159F4" w:rsidRPr="00D43B1B">
        <w:rPr>
          <w:rFonts w:ascii="Times New Roman" w:hAnsi="Times New Roman"/>
          <w:sz w:val="24"/>
          <w:szCs w:val="24"/>
        </w:rPr>
        <w:t xml:space="preserve">In ogni caso, per tale personale </w:t>
      </w:r>
      <w:r w:rsidR="00CC5F79" w:rsidRPr="00D43B1B">
        <w:rPr>
          <w:rFonts w:ascii="Times New Roman" w:hAnsi="Times New Roman"/>
          <w:sz w:val="24"/>
          <w:szCs w:val="24"/>
        </w:rPr>
        <w:t xml:space="preserve">è obbligatorio indicare </w:t>
      </w:r>
      <w:r w:rsidR="00DC3720" w:rsidRPr="00D43B1B">
        <w:rPr>
          <w:rFonts w:ascii="Times New Roman" w:hAnsi="Times New Roman"/>
          <w:sz w:val="24"/>
          <w:szCs w:val="24"/>
        </w:rPr>
        <w:t>il nominativo, la qualifica, il numero totale di ore dedicate al progetto e</w:t>
      </w:r>
      <w:r w:rsidR="00CC5F79" w:rsidRPr="00D43B1B">
        <w:rPr>
          <w:rFonts w:ascii="Times New Roman" w:hAnsi="Times New Roman"/>
          <w:sz w:val="24"/>
          <w:szCs w:val="24"/>
        </w:rPr>
        <w:t xml:space="preserve">d </w:t>
      </w:r>
      <w:r w:rsidR="00DC3720" w:rsidRPr="00D43B1B">
        <w:rPr>
          <w:rFonts w:ascii="Times New Roman" w:hAnsi="Times New Roman"/>
          <w:sz w:val="24"/>
          <w:szCs w:val="24"/>
        </w:rPr>
        <w:t>il</w:t>
      </w:r>
      <w:r w:rsidR="00CC5F79" w:rsidRPr="00D43B1B">
        <w:rPr>
          <w:rFonts w:ascii="Times New Roman" w:hAnsi="Times New Roman"/>
          <w:sz w:val="24"/>
          <w:szCs w:val="24"/>
        </w:rPr>
        <w:t xml:space="preserve"> relativo</w:t>
      </w:r>
      <w:r w:rsidR="00DC3720" w:rsidRPr="00D43B1B">
        <w:rPr>
          <w:rFonts w:ascii="Times New Roman" w:hAnsi="Times New Roman"/>
          <w:sz w:val="24"/>
          <w:szCs w:val="24"/>
        </w:rPr>
        <w:t xml:space="preserve"> costo</w:t>
      </w:r>
      <w:r w:rsidR="007D4775" w:rsidRPr="00D43B1B">
        <w:rPr>
          <w:rFonts w:ascii="Times New Roman" w:hAnsi="Times New Roman"/>
          <w:sz w:val="24"/>
          <w:szCs w:val="24"/>
        </w:rPr>
        <w:t xml:space="preserve"> </w:t>
      </w:r>
      <w:r w:rsidR="00CC5F79" w:rsidRPr="00D43B1B">
        <w:rPr>
          <w:rFonts w:ascii="Times New Roman" w:hAnsi="Times New Roman"/>
          <w:sz w:val="24"/>
          <w:szCs w:val="24"/>
        </w:rPr>
        <w:t xml:space="preserve">ai fini di </w:t>
      </w:r>
      <w:r w:rsidR="007D4775" w:rsidRPr="00D43B1B">
        <w:rPr>
          <w:rFonts w:ascii="Times New Roman" w:hAnsi="Times New Roman"/>
          <w:sz w:val="24"/>
          <w:szCs w:val="24"/>
        </w:rPr>
        <w:t>una corretta imputazione del tempo dedicato alla ricerca e</w:t>
      </w:r>
      <w:r w:rsidR="00D43B1B">
        <w:rPr>
          <w:rFonts w:ascii="Times New Roman" w:hAnsi="Times New Roman"/>
          <w:sz w:val="24"/>
          <w:szCs w:val="24"/>
        </w:rPr>
        <w:t xml:space="preserve"> </w:t>
      </w:r>
      <w:r w:rsidR="00CC5F79" w:rsidRPr="00D43B1B">
        <w:rPr>
          <w:rFonts w:ascii="Times New Roman" w:hAnsi="Times New Roman"/>
          <w:sz w:val="24"/>
          <w:szCs w:val="24"/>
        </w:rPr>
        <w:t>d</w:t>
      </w:r>
      <w:r w:rsidR="00D43B1B">
        <w:rPr>
          <w:rFonts w:ascii="Times New Roman" w:hAnsi="Times New Roman"/>
          <w:sz w:val="24"/>
          <w:szCs w:val="24"/>
        </w:rPr>
        <w:t>i</w:t>
      </w:r>
      <w:r w:rsidR="00CC5F79" w:rsidRPr="00D43B1B">
        <w:rPr>
          <w:rFonts w:ascii="Times New Roman" w:hAnsi="Times New Roman"/>
          <w:sz w:val="24"/>
          <w:szCs w:val="24"/>
        </w:rPr>
        <w:t xml:space="preserve"> </w:t>
      </w:r>
      <w:r w:rsidR="00F148CD" w:rsidRPr="00D43B1B">
        <w:rPr>
          <w:rFonts w:ascii="Times New Roman" w:hAnsi="Times New Roman"/>
          <w:sz w:val="24"/>
          <w:szCs w:val="24"/>
        </w:rPr>
        <w:t xml:space="preserve">eventuale ammissione di costi connessi (es.: </w:t>
      </w:r>
      <w:r w:rsidR="007D4775" w:rsidRPr="00D43B1B">
        <w:rPr>
          <w:rFonts w:ascii="Times New Roman" w:hAnsi="Times New Roman"/>
          <w:sz w:val="24"/>
          <w:szCs w:val="24"/>
        </w:rPr>
        <w:t>costi di missione</w:t>
      </w:r>
      <w:r w:rsidR="00F148CD" w:rsidRPr="00D43B1B">
        <w:rPr>
          <w:rFonts w:ascii="Times New Roman" w:hAnsi="Times New Roman"/>
          <w:sz w:val="24"/>
          <w:szCs w:val="24"/>
        </w:rPr>
        <w:t>).</w:t>
      </w:r>
    </w:p>
    <w:p w:rsidR="00AA6328" w:rsidRPr="00D43B1B" w:rsidRDefault="00FD03B0" w:rsidP="008474AE">
      <w:pPr>
        <w:autoSpaceDE w:val="0"/>
        <w:autoSpaceDN w:val="0"/>
        <w:adjustRightInd w:val="0"/>
        <w:spacing w:after="0" w:line="240" w:lineRule="auto"/>
        <w:ind w:left="85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71F67">
        <w:rPr>
          <w:rFonts w:ascii="Times New Roman" w:hAnsi="Times New Roman"/>
          <w:sz w:val="24"/>
          <w:szCs w:val="24"/>
        </w:rPr>
        <w:t xml:space="preserve">A2) </w:t>
      </w:r>
      <w:r w:rsidR="002B61C5" w:rsidRPr="002B61C5">
        <w:rPr>
          <w:rFonts w:ascii="Times New Roman" w:hAnsi="Times New Roman"/>
          <w:sz w:val="24"/>
          <w:szCs w:val="24"/>
          <w:u w:val="single"/>
        </w:rPr>
        <w:t>p</w:t>
      </w:r>
      <w:r w:rsidR="007D2788" w:rsidRPr="002B61C5">
        <w:rPr>
          <w:rFonts w:ascii="Times New Roman" w:hAnsi="Times New Roman"/>
          <w:sz w:val="24"/>
          <w:szCs w:val="24"/>
          <w:u w:val="single"/>
        </w:rPr>
        <w:t>ersonale a tempo determinato</w:t>
      </w:r>
      <w:r w:rsidR="007159F4">
        <w:rPr>
          <w:rFonts w:ascii="Times New Roman" w:hAnsi="Times New Roman"/>
          <w:sz w:val="24"/>
          <w:szCs w:val="24"/>
          <w:u w:val="single"/>
        </w:rPr>
        <w:t>:</w:t>
      </w:r>
      <w:r w:rsidR="007159F4" w:rsidRPr="007159F4">
        <w:rPr>
          <w:rFonts w:ascii="Times New Roman" w:hAnsi="Times New Roman"/>
          <w:sz w:val="24"/>
          <w:szCs w:val="24"/>
        </w:rPr>
        <w:t xml:space="preserve"> </w:t>
      </w:r>
      <w:r w:rsidR="00AA6328" w:rsidRPr="008C329D">
        <w:rPr>
          <w:rFonts w:ascii="Times New Roman" w:hAnsi="Times New Roman"/>
          <w:sz w:val="24"/>
          <w:szCs w:val="24"/>
        </w:rPr>
        <w:t xml:space="preserve">collabora con </w:t>
      </w:r>
      <w:r w:rsidR="00540789" w:rsidRPr="008C329D">
        <w:rPr>
          <w:rFonts w:ascii="Times New Roman" w:hAnsi="Times New Roman"/>
          <w:sz w:val="24"/>
          <w:szCs w:val="24"/>
        </w:rPr>
        <w:t xml:space="preserve">il personale </w:t>
      </w:r>
      <w:r w:rsidR="00AA6328" w:rsidRPr="008C329D">
        <w:rPr>
          <w:rFonts w:ascii="Times New Roman" w:hAnsi="Times New Roman"/>
          <w:sz w:val="24"/>
          <w:szCs w:val="24"/>
        </w:rPr>
        <w:t xml:space="preserve">di ruolo </w:t>
      </w:r>
      <w:r w:rsidR="00540789" w:rsidRPr="008C329D">
        <w:rPr>
          <w:rFonts w:ascii="Times New Roman" w:hAnsi="Times New Roman"/>
          <w:sz w:val="24"/>
          <w:szCs w:val="24"/>
        </w:rPr>
        <w:t xml:space="preserve">nello svolgimento delle </w:t>
      </w:r>
      <w:r w:rsidR="00540789" w:rsidRPr="00D43B1B">
        <w:rPr>
          <w:rFonts w:ascii="Times New Roman" w:hAnsi="Times New Roman"/>
          <w:sz w:val="24"/>
          <w:szCs w:val="24"/>
        </w:rPr>
        <w:t xml:space="preserve">attività </w:t>
      </w:r>
      <w:r w:rsidR="007159F4" w:rsidRPr="00D43B1B">
        <w:rPr>
          <w:rFonts w:ascii="Times New Roman" w:hAnsi="Times New Roman"/>
          <w:sz w:val="24"/>
          <w:szCs w:val="24"/>
        </w:rPr>
        <w:t>del progetto</w:t>
      </w:r>
      <w:r w:rsidR="00432D0C">
        <w:rPr>
          <w:rFonts w:ascii="Times New Roman" w:hAnsi="Times New Roman"/>
          <w:sz w:val="24"/>
          <w:szCs w:val="24"/>
        </w:rPr>
        <w:t xml:space="preserve"> per almeno 250 ore annue</w:t>
      </w:r>
      <w:r w:rsidR="00AA6328" w:rsidRPr="00D43B1B">
        <w:rPr>
          <w:rFonts w:ascii="Times New Roman" w:hAnsi="Times New Roman"/>
          <w:sz w:val="24"/>
          <w:szCs w:val="24"/>
        </w:rPr>
        <w:t xml:space="preserve">. </w:t>
      </w:r>
      <w:r w:rsidR="00BC4D2B" w:rsidRPr="00D43B1B">
        <w:rPr>
          <w:rFonts w:ascii="Times New Roman" w:hAnsi="Times New Roman"/>
          <w:sz w:val="24"/>
          <w:szCs w:val="24"/>
        </w:rPr>
        <w:t>E’</w:t>
      </w:r>
      <w:r w:rsidR="007159F4" w:rsidRPr="00D43B1B">
        <w:rPr>
          <w:rFonts w:ascii="Times New Roman" w:hAnsi="Times New Roman"/>
          <w:sz w:val="24"/>
          <w:szCs w:val="24"/>
        </w:rPr>
        <w:t xml:space="preserve">ammesso </w:t>
      </w:r>
      <w:r w:rsidR="00BC4D2B" w:rsidRPr="00D43B1B">
        <w:rPr>
          <w:rFonts w:ascii="Times New Roman" w:hAnsi="Times New Roman"/>
          <w:sz w:val="24"/>
          <w:szCs w:val="24"/>
        </w:rPr>
        <w:t xml:space="preserve">anche l’impiego di personale </w:t>
      </w:r>
      <w:r w:rsidR="00BC4D2B" w:rsidRPr="00D43B1B">
        <w:rPr>
          <w:rFonts w:ascii="Times New Roman" w:hAnsi="Times New Roman"/>
          <w:i/>
          <w:sz w:val="24"/>
          <w:szCs w:val="24"/>
        </w:rPr>
        <w:t xml:space="preserve">somministrato </w:t>
      </w:r>
      <w:r w:rsidR="00BC4D2B" w:rsidRPr="00D43B1B">
        <w:rPr>
          <w:rFonts w:ascii="Times New Roman" w:hAnsi="Times New Roman"/>
          <w:sz w:val="24"/>
          <w:szCs w:val="24"/>
        </w:rPr>
        <w:t>a tempo determinato, per il quale è riconosciuta solo la spesa effettivamente sostenuta per la quota stipendiale del lavoratore</w:t>
      </w:r>
      <w:r w:rsidR="007159F4" w:rsidRPr="00D43B1B">
        <w:rPr>
          <w:rFonts w:ascii="Times New Roman" w:hAnsi="Times New Roman"/>
          <w:sz w:val="24"/>
          <w:szCs w:val="24"/>
        </w:rPr>
        <w:t xml:space="preserve">. </w:t>
      </w:r>
      <w:r w:rsidR="00AA6328" w:rsidRPr="00D43B1B">
        <w:rPr>
          <w:rFonts w:ascii="Times New Roman" w:hAnsi="Times New Roman"/>
          <w:sz w:val="24"/>
          <w:szCs w:val="24"/>
        </w:rPr>
        <w:t>Il</w:t>
      </w:r>
      <w:r w:rsidR="00BC4D2B" w:rsidRPr="00D43B1B">
        <w:rPr>
          <w:rFonts w:ascii="Times New Roman" w:hAnsi="Times New Roman"/>
          <w:sz w:val="24"/>
          <w:szCs w:val="24"/>
        </w:rPr>
        <w:t xml:space="preserve"> </w:t>
      </w:r>
      <w:r w:rsidR="00540789" w:rsidRPr="00D43B1B">
        <w:rPr>
          <w:rFonts w:ascii="Times New Roman" w:hAnsi="Times New Roman"/>
          <w:sz w:val="24"/>
          <w:szCs w:val="24"/>
        </w:rPr>
        <w:t xml:space="preserve">nominativo </w:t>
      </w:r>
      <w:r w:rsidR="00BC4D2B" w:rsidRPr="00D43B1B">
        <w:rPr>
          <w:rFonts w:ascii="Times New Roman" w:hAnsi="Times New Roman"/>
          <w:sz w:val="24"/>
          <w:szCs w:val="24"/>
        </w:rPr>
        <w:t xml:space="preserve">del </w:t>
      </w:r>
      <w:r w:rsidR="00AA6328" w:rsidRPr="00D43B1B">
        <w:rPr>
          <w:rFonts w:ascii="Times New Roman" w:hAnsi="Times New Roman"/>
          <w:sz w:val="24"/>
          <w:szCs w:val="24"/>
        </w:rPr>
        <w:t xml:space="preserve">personale </w:t>
      </w:r>
      <w:r w:rsidR="00BC4D2B" w:rsidRPr="00D43B1B">
        <w:rPr>
          <w:rFonts w:ascii="Times New Roman" w:hAnsi="Times New Roman"/>
          <w:sz w:val="24"/>
          <w:szCs w:val="24"/>
        </w:rPr>
        <w:t xml:space="preserve">a tempo determinato </w:t>
      </w:r>
      <w:r w:rsidR="008C329D" w:rsidRPr="00D43B1B">
        <w:rPr>
          <w:rFonts w:ascii="Times New Roman" w:hAnsi="Times New Roman"/>
          <w:sz w:val="24"/>
          <w:szCs w:val="24"/>
        </w:rPr>
        <w:t>deve essere</w:t>
      </w:r>
      <w:r w:rsidR="00540789" w:rsidRPr="00D43B1B">
        <w:rPr>
          <w:rFonts w:ascii="Times New Roman" w:hAnsi="Times New Roman"/>
          <w:sz w:val="24"/>
          <w:szCs w:val="24"/>
        </w:rPr>
        <w:t xml:space="preserve"> comunicato tempestivamente non appena contrattualizzato.</w:t>
      </w:r>
      <w:r w:rsidR="008C329D" w:rsidRPr="00D43B1B">
        <w:rPr>
          <w:rFonts w:ascii="Times New Roman" w:hAnsi="Times New Roman"/>
          <w:sz w:val="24"/>
          <w:szCs w:val="24"/>
        </w:rPr>
        <w:t xml:space="preserve"> </w:t>
      </w:r>
      <w:r w:rsidR="0063192C" w:rsidRPr="00D43B1B">
        <w:rPr>
          <w:rFonts w:ascii="Times New Roman" w:hAnsi="Times New Roman"/>
          <w:sz w:val="24"/>
          <w:szCs w:val="24"/>
        </w:rPr>
        <w:t xml:space="preserve">In merito alle </w:t>
      </w:r>
      <w:r w:rsidR="008C329D" w:rsidRPr="00D43B1B">
        <w:rPr>
          <w:rFonts w:ascii="Times New Roman" w:hAnsi="Times New Roman"/>
          <w:sz w:val="24"/>
          <w:szCs w:val="24"/>
        </w:rPr>
        <w:t>categorie/</w:t>
      </w:r>
      <w:r w:rsidR="0063192C" w:rsidRPr="00D43B1B">
        <w:rPr>
          <w:rFonts w:ascii="Times New Roman" w:hAnsi="Times New Roman"/>
          <w:sz w:val="24"/>
          <w:szCs w:val="24"/>
        </w:rPr>
        <w:t>figure professionali</w:t>
      </w:r>
      <w:r w:rsidR="008C329D" w:rsidRPr="00D43B1B">
        <w:rPr>
          <w:rFonts w:ascii="Times New Roman" w:hAnsi="Times New Roman"/>
          <w:sz w:val="24"/>
          <w:szCs w:val="24"/>
        </w:rPr>
        <w:t xml:space="preserve"> e personale in formazione (borse di studio, assegni di ricerca, dottorato</w:t>
      </w:r>
      <w:r w:rsidR="00E10F41">
        <w:rPr>
          <w:rFonts w:ascii="Times New Roman" w:hAnsi="Times New Roman"/>
          <w:sz w:val="24"/>
          <w:szCs w:val="24"/>
        </w:rPr>
        <w:t>,</w:t>
      </w:r>
      <w:r w:rsidR="008C329D" w:rsidRPr="00D43B1B">
        <w:rPr>
          <w:rFonts w:ascii="Times New Roman" w:hAnsi="Times New Roman"/>
          <w:sz w:val="24"/>
          <w:szCs w:val="24"/>
        </w:rPr>
        <w:t xml:space="preserve"> ecc.) </w:t>
      </w:r>
      <w:r w:rsidR="00032116" w:rsidRPr="00D43B1B">
        <w:rPr>
          <w:rFonts w:ascii="Times New Roman" w:hAnsi="Times New Roman"/>
          <w:sz w:val="24"/>
          <w:szCs w:val="24"/>
        </w:rPr>
        <w:t xml:space="preserve">il costo da imputare al progetto </w:t>
      </w:r>
      <w:r w:rsidR="00AA6328" w:rsidRPr="00D43B1B">
        <w:rPr>
          <w:rFonts w:ascii="Times New Roman" w:hAnsi="Times New Roman"/>
          <w:sz w:val="24"/>
          <w:szCs w:val="24"/>
        </w:rPr>
        <w:t xml:space="preserve">è quello desumibile dalla tipologia di contratto che sarà applicato. </w:t>
      </w:r>
    </w:p>
    <w:p w:rsidR="00D11B78" w:rsidRPr="00DB16A1" w:rsidRDefault="004B322B" w:rsidP="004B322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/>
          <w:strike/>
          <w:sz w:val="24"/>
          <w:szCs w:val="24"/>
        </w:rPr>
      </w:pPr>
      <w:r w:rsidRPr="00DB16A1">
        <w:rPr>
          <w:rFonts w:ascii="Times New Roman" w:hAnsi="Times New Roman"/>
          <w:sz w:val="24"/>
          <w:szCs w:val="24"/>
        </w:rPr>
        <w:t>Il c</w:t>
      </w:r>
      <w:r w:rsidR="00761D69" w:rsidRPr="00DB16A1">
        <w:rPr>
          <w:rFonts w:ascii="Times New Roman" w:hAnsi="Times New Roman"/>
          <w:sz w:val="24"/>
          <w:szCs w:val="24"/>
        </w:rPr>
        <w:t>osto per</w:t>
      </w:r>
      <w:r w:rsidR="00D11B78" w:rsidRPr="00DB16A1">
        <w:rPr>
          <w:rFonts w:ascii="Times New Roman" w:hAnsi="Times New Roman"/>
          <w:sz w:val="24"/>
          <w:szCs w:val="24"/>
        </w:rPr>
        <w:t xml:space="preserve"> </w:t>
      </w:r>
      <w:r w:rsidRPr="00DB16A1">
        <w:rPr>
          <w:rFonts w:ascii="Times New Roman" w:hAnsi="Times New Roman"/>
          <w:sz w:val="24"/>
          <w:szCs w:val="24"/>
        </w:rPr>
        <w:t>eventuale per</w:t>
      </w:r>
      <w:r w:rsidR="00D11B78" w:rsidRPr="00DB16A1">
        <w:rPr>
          <w:rFonts w:ascii="Times New Roman" w:hAnsi="Times New Roman"/>
          <w:sz w:val="24"/>
          <w:szCs w:val="24"/>
        </w:rPr>
        <w:t>sonale amministrativo</w:t>
      </w:r>
      <w:r w:rsidRPr="00DB16A1">
        <w:rPr>
          <w:rFonts w:ascii="Times New Roman" w:hAnsi="Times New Roman"/>
          <w:sz w:val="24"/>
          <w:szCs w:val="24"/>
        </w:rPr>
        <w:t xml:space="preserve"> </w:t>
      </w:r>
      <w:r w:rsidR="00D11B78" w:rsidRPr="00DB16A1">
        <w:rPr>
          <w:rFonts w:ascii="Times New Roman" w:hAnsi="Times New Roman"/>
          <w:sz w:val="24"/>
          <w:szCs w:val="24"/>
        </w:rPr>
        <w:t xml:space="preserve">può trovare collocazione </w:t>
      </w:r>
      <w:r w:rsidRPr="00DB16A1">
        <w:rPr>
          <w:rFonts w:ascii="Times New Roman" w:hAnsi="Times New Roman"/>
          <w:sz w:val="24"/>
          <w:szCs w:val="24"/>
        </w:rPr>
        <w:t>esclusivamente nel</w:t>
      </w:r>
      <w:r w:rsidR="00F148CD" w:rsidRPr="00DB16A1">
        <w:rPr>
          <w:rFonts w:ascii="Times New Roman" w:hAnsi="Times New Roman"/>
          <w:sz w:val="24"/>
          <w:szCs w:val="24"/>
        </w:rPr>
        <w:t xml:space="preserve">la voce </w:t>
      </w:r>
      <w:r w:rsidR="00761D69" w:rsidRPr="00DB16A1">
        <w:rPr>
          <w:rFonts w:ascii="Times New Roman" w:hAnsi="Times New Roman"/>
          <w:sz w:val="24"/>
          <w:szCs w:val="24"/>
        </w:rPr>
        <w:t>“</w:t>
      </w:r>
      <w:r w:rsidR="00D11B78" w:rsidRPr="00DB16A1">
        <w:rPr>
          <w:rFonts w:ascii="Times New Roman" w:hAnsi="Times New Roman"/>
          <w:sz w:val="24"/>
          <w:szCs w:val="24"/>
        </w:rPr>
        <w:t>coordinamento</w:t>
      </w:r>
      <w:r w:rsidR="00761D69" w:rsidRPr="00DB16A1">
        <w:rPr>
          <w:rFonts w:ascii="Times New Roman" w:hAnsi="Times New Roman"/>
          <w:sz w:val="24"/>
          <w:szCs w:val="24"/>
        </w:rPr>
        <w:t>”</w:t>
      </w:r>
      <w:r w:rsidR="00E10F41">
        <w:rPr>
          <w:rFonts w:ascii="Times New Roman" w:hAnsi="Times New Roman"/>
          <w:sz w:val="24"/>
          <w:szCs w:val="24"/>
        </w:rPr>
        <w:t>.</w:t>
      </w:r>
    </w:p>
    <w:p w:rsidR="008474AE" w:rsidRDefault="00FD03B0" w:rsidP="008474AE">
      <w:p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71F67">
        <w:rPr>
          <w:rFonts w:ascii="Times New Roman" w:hAnsi="Times New Roman"/>
          <w:sz w:val="24"/>
          <w:szCs w:val="24"/>
        </w:rPr>
        <w:t xml:space="preserve">A3) </w:t>
      </w:r>
      <w:r w:rsidR="002B61C5" w:rsidRPr="002B61C5">
        <w:rPr>
          <w:rFonts w:ascii="Times New Roman" w:hAnsi="Times New Roman"/>
          <w:sz w:val="24"/>
          <w:szCs w:val="24"/>
          <w:u w:val="single"/>
        </w:rPr>
        <w:t>m</w:t>
      </w:r>
      <w:r w:rsidR="007D2788" w:rsidRPr="002B61C5">
        <w:rPr>
          <w:rFonts w:ascii="Times New Roman" w:hAnsi="Times New Roman"/>
          <w:sz w:val="24"/>
          <w:szCs w:val="24"/>
          <w:u w:val="single"/>
        </w:rPr>
        <w:t>issioni nazionali ed estere</w:t>
      </w:r>
      <w:r w:rsidR="009C4295">
        <w:rPr>
          <w:rFonts w:ascii="Times New Roman" w:hAnsi="Times New Roman"/>
          <w:sz w:val="24"/>
          <w:szCs w:val="24"/>
          <w:u w:val="single"/>
        </w:rPr>
        <w:t>:</w:t>
      </w:r>
      <w:r w:rsidR="009C4295" w:rsidRPr="009C4295">
        <w:rPr>
          <w:rFonts w:ascii="Times New Roman" w:hAnsi="Times New Roman"/>
          <w:sz w:val="24"/>
          <w:szCs w:val="24"/>
        </w:rPr>
        <w:t xml:space="preserve"> </w:t>
      </w:r>
      <w:r w:rsidR="00B81223" w:rsidRPr="00D43B1B">
        <w:rPr>
          <w:rFonts w:ascii="Times New Roman" w:hAnsi="Times New Roman"/>
          <w:sz w:val="24"/>
          <w:szCs w:val="24"/>
        </w:rPr>
        <w:t xml:space="preserve">riguardano </w:t>
      </w:r>
      <w:r w:rsidR="009C4295" w:rsidRPr="00D43B1B">
        <w:rPr>
          <w:rFonts w:ascii="Times New Roman" w:hAnsi="Times New Roman"/>
          <w:sz w:val="24"/>
          <w:szCs w:val="24"/>
        </w:rPr>
        <w:t xml:space="preserve">le </w:t>
      </w:r>
      <w:r w:rsidR="00B52B9C" w:rsidRPr="00D43B1B">
        <w:rPr>
          <w:rFonts w:ascii="Times New Roman" w:hAnsi="Times New Roman"/>
          <w:sz w:val="24"/>
          <w:szCs w:val="24"/>
        </w:rPr>
        <w:t xml:space="preserve">missioni </w:t>
      </w:r>
      <w:r w:rsidR="009C4295" w:rsidRPr="00D43B1B">
        <w:rPr>
          <w:rFonts w:ascii="Times New Roman" w:hAnsi="Times New Roman"/>
          <w:sz w:val="24"/>
          <w:szCs w:val="24"/>
        </w:rPr>
        <w:t>effettuate d</w:t>
      </w:r>
      <w:r w:rsidR="00B52B9C" w:rsidRPr="00D43B1B">
        <w:rPr>
          <w:rFonts w:ascii="Times New Roman" w:hAnsi="Times New Roman"/>
          <w:sz w:val="24"/>
          <w:szCs w:val="24"/>
        </w:rPr>
        <w:t xml:space="preserve">al personale che partecipa </w:t>
      </w:r>
      <w:r w:rsidR="00E10F41">
        <w:rPr>
          <w:rFonts w:ascii="Times New Roman" w:hAnsi="Times New Roman"/>
          <w:sz w:val="24"/>
          <w:szCs w:val="24"/>
        </w:rPr>
        <w:t>fattivamente</w:t>
      </w:r>
      <w:r w:rsidR="00B52B9C" w:rsidRPr="00D43B1B">
        <w:rPr>
          <w:rFonts w:ascii="Times New Roman" w:hAnsi="Times New Roman"/>
          <w:sz w:val="24"/>
          <w:szCs w:val="24"/>
        </w:rPr>
        <w:t xml:space="preserve"> </w:t>
      </w:r>
      <w:r w:rsidR="00761D69" w:rsidRPr="00D43B1B">
        <w:rPr>
          <w:rFonts w:ascii="Times New Roman" w:hAnsi="Times New Roman"/>
          <w:sz w:val="24"/>
          <w:szCs w:val="24"/>
        </w:rPr>
        <w:t>al progetto</w:t>
      </w:r>
      <w:r w:rsidR="009C4295" w:rsidRPr="00D43B1B">
        <w:rPr>
          <w:rFonts w:ascii="Times New Roman" w:hAnsi="Times New Roman"/>
          <w:sz w:val="24"/>
          <w:szCs w:val="24"/>
        </w:rPr>
        <w:t xml:space="preserve"> per le quali </w:t>
      </w:r>
      <w:r w:rsidR="0020674D" w:rsidRPr="00D43B1B">
        <w:rPr>
          <w:rFonts w:ascii="Times New Roman" w:hAnsi="Times New Roman"/>
          <w:sz w:val="24"/>
          <w:szCs w:val="24"/>
        </w:rPr>
        <w:t xml:space="preserve">deve essere </w:t>
      </w:r>
      <w:r w:rsidR="00B52B9C" w:rsidRPr="00D43B1B">
        <w:rPr>
          <w:rFonts w:ascii="Times New Roman" w:hAnsi="Times New Roman"/>
          <w:sz w:val="24"/>
          <w:szCs w:val="24"/>
        </w:rPr>
        <w:t>dimostra</w:t>
      </w:r>
      <w:r w:rsidR="009C4295" w:rsidRPr="00D43B1B">
        <w:rPr>
          <w:rFonts w:ascii="Times New Roman" w:hAnsi="Times New Roman"/>
          <w:sz w:val="24"/>
          <w:szCs w:val="24"/>
        </w:rPr>
        <w:t>t</w:t>
      </w:r>
      <w:r w:rsidR="00D666F7" w:rsidRPr="00D43B1B">
        <w:rPr>
          <w:rFonts w:ascii="Times New Roman" w:hAnsi="Times New Roman"/>
          <w:sz w:val="24"/>
          <w:szCs w:val="24"/>
        </w:rPr>
        <w:t>a</w:t>
      </w:r>
      <w:r w:rsidR="00761D69" w:rsidRPr="00D43B1B">
        <w:rPr>
          <w:rFonts w:ascii="Times New Roman" w:hAnsi="Times New Roman"/>
          <w:sz w:val="24"/>
          <w:szCs w:val="24"/>
        </w:rPr>
        <w:t xml:space="preserve"> </w:t>
      </w:r>
      <w:r w:rsidR="00B52B9C" w:rsidRPr="00D43B1B">
        <w:rPr>
          <w:rFonts w:ascii="Times New Roman" w:hAnsi="Times New Roman"/>
          <w:sz w:val="24"/>
          <w:szCs w:val="24"/>
        </w:rPr>
        <w:t>la</w:t>
      </w:r>
      <w:r w:rsidR="007D2788" w:rsidRPr="00D43B1B">
        <w:rPr>
          <w:rFonts w:ascii="Times New Roman" w:hAnsi="Times New Roman"/>
          <w:sz w:val="24"/>
          <w:szCs w:val="24"/>
        </w:rPr>
        <w:t xml:space="preserve"> </w:t>
      </w:r>
      <w:r w:rsidR="00E319E7" w:rsidRPr="00D43B1B">
        <w:rPr>
          <w:rFonts w:ascii="Times New Roman" w:hAnsi="Times New Roman"/>
          <w:sz w:val="24"/>
          <w:szCs w:val="24"/>
        </w:rPr>
        <w:t xml:space="preserve">diretta attinenza </w:t>
      </w:r>
      <w:r w:rsidR="00F1655F" w:rsidRPr="00D43B1B">
        <w:rPr>
          <w:rFonts w:ascii="Times New Roman" w:hAnsi="Times New Roman"/>
          <w:sz w:val="24"/>
          <w:szCs w:val="24"/>
        </w:rPr>
        <w:t>e coerenza con le attività e le tematiche progettuali.</w:t>
      </w:r>
      <w:r w:rsidR="00D666F7" w:rsidRPr="00D43B1B">
        <w:rPr>
          <w:rFonts w:ascii="Times New Roman" w:hAnsi="Times New Roman"/>
          <w:sz w:val="24"/>
          <w:szCs w:val="24"/>
        </w:rPr>
        <w:t xml:space="preserve"> Sono ammissibili</w:t>
      </w:r>
      <w:r w:rsidR="00D666F7">
        <w:rPr>
          <w:rFonts w:ascii="Times New Roman" w:hAnsi="Times New Roman"/>
          <w:sz w:val="24"/>
          <w:szCs w:val="24"/>
        </w:rPr>
        <w:t>:</w:t>
      </w:r>
    </w:p>
    <w:p w:rsidR="008474AE" w:rsidRDefault="00D666F7" w:rsidP="008474A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4AE">
        <w:rPr>
          <w:rFonts w:ascii="Times New Roman" w:hAnsi="Times New Roman"/>
          <w:sz w:val="24"/>
          <w:szCs w:val="24"/>
        </w:rPr>
        <w:t xml:space="preserve">costi per il trasporto (viaggio di andata e ritorno) riferiti all’utilizzo di mezzi pubblici. Non sono ammessi costi per mezzi privati, taxi o vetture noleggiate, salvo reali e documentate impossibilità a raggiungere agevolmente e tempestivamente il luogo di missione nonché per ragioni di economicità. La circostanza, da dimostrare </w:t>
      </w:r>
      <w:r w:rsidRPr="008474AE">
        <w:rPr>
          <w:rFonts w:ascii="Times New Roman" w:hAnsi="Times New Roman"/>
          <w:sz w:val="24"/>
          <w:szCs w:val="24"/>
        </w:rPr>
        <w:lastRenderedPageBreak/>
        <w:t>adeguatamente, deve avere tuttavia un carattere di assoluta eccezionalità.</w:t>
      </w:r>
      <w:r w:rsidR="008866E1" w:rsidRPr="008474AE">
        <w:rPr>
          <w:rFonts w:ascii="Times New Roman" w:hAnsi="Times New Roman"/>
          <w:sz w:val="24"/>
          <w:szCs w:val="24"/>
        </w:rPr>
        <w:t xml:space="preserve"> </w:t>
      </w:r>
      <w:r w:rsidRPr="008474AE">
        <w:rPr>
          <w:rFonts w:ascii="Times New Roman" w:hAnsi="Times New Roman"/>
          <w:sz w:val="24"/>
          <w:szCs w:val="24"/>
        </w:rPr>
        <w:t xml:space="preserve">La spesa relativa all’uso del mezzo proprio, se prevista nella lettera di autorizzazione ad effettuare la missione, è riconoscibile nella misura corrispondente ad 1/5 del costo medio di un litro di carburante per ogni km percorso, con riferimento alle tabelle polimetriche delle </w:t>
      </w:r>
      <w:r w:rsidR="00600DEB" w:rsidRPr="008474AE">
        <w:rPr>
          <w:rFonts w:ascii="Times New Roman" w:hAnsi="Times New Roman"/>
          <w:sz w:val="24"/>
          <w:szCs w:val="24"/>
        </w:rPr>
        <w:t xml:space="preserve">distanze. </w:t>
      </w:r>
      <w:r w:rsidRPr="008474AE">
        <w:rPr>
          <w:rFonts w:ascii="Times New Roman" w:hAnsi="Times New Roman"/>
          <w:sz w:val="24"/>
          <w:szCs w:val="24"/>
        </w:rPr>
        <w:t>Non sono ammessi rimborsi spese a forfait</w:t>
      </w:r>
      <w:r w:rsidR="00600DEB" w:rsidRPr="008474AE">
        <w:rPr>
          <w:rFonts w:ascii="Times New Roman" w:hAnsi="Times New Roman"/>
          <w:sz w:val="24"/>
          <w:szCs w:val="24"/>
        </w:rPr>
        <w:t xml:space="preserve"> quali diarie</w:t>
      </w:r>
      <w:r w:rsidRPr="008474AE">
        <w:rPr>
          <w:rFonts w:ascii="Times New Roman" w:hAnsi="Times New Roman"/>
          <w:sz w:val="24"/>
          <w:szCs w:val="24"/>
        </w:rPr>
        <w:t>.</w:t>
      </w:r>
    </w:p>
    <w:p w:rsidR="005D775C" w:rsidRPr="008474AE" w:rsidRDefault="00D666F7" w:rsidP="008474A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474AE">
        <w:rPr>
          <w:rFonts w:ascii="Times New Roman" w:hAnsi="Times New Roman"/>
          <w:sz w:val="24"/>
          <w:szCs w:val="24"/>
        </w:rPr>
        <w:t xml:space="preserve">i costi per il soggiorno (pernottamenti e </w:t>
      </w:r>
      <w:r w:rsidR="00D43B1B" w:rsidRPr="008474AE">
        <w:rPr>
          <w:rFonts w:ascii="Times New Roman" w:hAnsi="Times New Roman"/>
          <w:sz w:val="24"/>
          <w:szCs w:val="24"/>
        </w:rPr>
        <w:t>past</w:t>
      </w:r>
      <w:r w:rsidRPr="008474AE">
        <w:rPr>
          <w:rFonts w:ascii="Times New Roman" w:hAnsi="Times New Roman"/>
          <w:sz w:val="24"/>
          <w:szCs w:val="24"/>
        </w:rPr>
        <w:t>i). Non sono ammess</w:t>
      </w:r>
      <w:r w:rsidR="00600DEB" w:rsidRPr="008474AE">
        <w:rPr>
          <w:rFonts w:ascii="Times New Roman" w:hAnsi="Times New Roman"/>
          <w:sz w:val="24"/>
          <w:szCs w:val="24"/>
        </w:rPr>
        <w:t>i</w:t>
      </w:r>
      <w:r w:rsidRPr="008474AE">
        <w:rPr>
          <w:rFonts w:ascii="Times New Roman" w:hAnsi="Times New Roman"/>
          <w:sz w:val="24"/>
          <w:szCs w:val="24"/>
        </w:rPr>
        <w:t xml:space="preserve"> </w:t>
      </w:r>
      <w:r w:rsidR="00600DEB" w:rsidRPr="008474AE">
        <w:rPr>
          <w:rFonts w:ascii="Times New Roman" w:hAnsi="Times New Roman"/>
          <w:sz w:val="24"/>
          <w:szCs w:val="24"/>
        </w:rPr>
        <w:t>i costi</w:t>
      </w:r>
      <w:r w:rsidRPr="008474AE">
        <w:rPr>
          <w:rFonts w:ascii="Times New Roman" w:hAnsi="Times New Roman"/>
          <w:sz w:val="24"/>
          <w:szCs w:val="24"/>
        </w:rPr>
        <w:t xml:space="preserve"> </w:t>
      </w:r>
      <w:r w:rsidR="00F148CD" w:rsidRPr="008474AE">
        <w:rPr>
          <w:rFonts w:ascii="Times New Roman" w:hAnsi="Times New Roman"/>
          <w:sz w:val="24"/>
          <w:szCs w:val="24"/>
        </w:rPr>
        <w:t>extra (</w:t>
      </w:r>
      <w:r w:rsidR="00600DEB" w:rsidRPr="008474AE">
        <w:rPr>
          <w:rFonts w:ascii="Times New Roman" w:hAnsi="Times New Roman"/>
          <w:sz w:val="24"/>
          <w:szCs w:val="24"/>
        </w:rPr>
        <w:t>telefonici</w:t>
      </w:r>
      <w:r w:rsidRPr="008474AE">
        <w:rPr>
          <w:rFonts w:ascii="Times New Roman" w:hAnsi="Times New Roman"/>
          <w:sz w:val="24"/>
          <w:szCs w:val="24"/>
        </w:rPr>
        <w:t>, frigo bar, alcolici</w:t>
      </w:r>
      <w:r w:rsidR="00E10F41" w:rsidRPr="008474AE">
        <w:rPr>
          <w:rFonts w:ascii="Times New Roman" w:hAnsi="Times New Roman"/>
          <w:sz w:val="24"/>
          <w:szCs w:val="24"/>
        </w:rPr>
        <w:t>,</w:t>
      </w:r>
      <w:r w:rsidRPr="008474AE">
        <w:rPr>
          <w:rFonts w:ascii="Times New Roman" w:hAnsi="Times New Roman"/>
          <w:sz w:val="24"/>
          <w:szCs w:val="24"/>
        </w:rPr>
        <w:t xml:space="preserve"> e</w:t>
      </w:r>
      <w:r w:rsidR="005D775C" w:rsidRPr="008474AE">
        <w:rPr>
          <w:rFonts w:ascii="Times New Roman" w:hAnsi="Times New Roman"/>
          <w:sz w:val="24"/>
          <w:szCs w:val="24"/>
        </w:rPr>
        <w:t>cc.)</w:t>
      </w:r>
    </w:p>
    <w:p w:rsidR="008C7666" w:rsidRPr="008C7666" w:rsidRDefault="008C7666" w:rsidP="00847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666">
        <w:rPr>
          <w:rFonts w:ascii="Times New Roman" w:hAnsi="Times New Roman"/>
          <w:sz w:val="24"/>
          <w:szCs w:val="24"/>
        </w:rPr>
        <w:t>Non sono altresì riconosciute le diarie, i costi di iscrizione a congressi ed eventuali costi per l’acquisto di materiale scientifico e didattico in quanto imputabili alla voce “</w:t>
      </w:r>
      <w:r w:rsidRPr="008C7666">
        <w:rPr>
          <w:rFonts w:ascii="Times New Roman" w:hAnsi="Times New Roman"/>
          <w:i/>
          <w:sz w:val="24"/>
          <w:szCs w:val="24"/>
        </w:rPr>
        <w:t>Spese generali</w:t>
      </w:r>
      <w:r w:rsidRPr="008C7666">
        <w:rPr>
          <w:rFonts w:ascii="Times New Roman" w:hAnsi="Times New Roman"/>
          <w:sz w:val="24"/>
          <w:szCs w:val="24"/>
        </w:rPr>
        <w:t>”.</w:t>
      </w:r>
    </w:p>
    <w:p w:rsidR="00D666F7" w:rsidRDefault="00D666F7" w:rsidP="00847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60D">
        <w:rPr>
          <w:rFonts w:ascii="Times New Roman" w:hAnsi="Times New Roman"/>
          <w:sz w:val="24"/>
          <w:szCs w:val="24"/>
        </w:rPr>
        <w:t>In ogni caso si deve far riferimento a quanto previsto dal C</w:t>
      </w:r>
      <w:r>
        <w:rPr>
          <w:rFonts w:ascii="Times New Roman" w:hAnsi="Times New Roman"/>
          <w:sz w:val="24"/>
          <w:szCs w:val="24"/>
        </w:rPr>
        <w:t>.</w:t>
      </w:r>
      <w:r w:rsidRPr="00C6060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C6060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C6060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C6060D">
        <w:rPr>
          <w:rFonts w:ascii="Times New Roman" w:hAnsi="Times New Roman"/>
          <w:sz w:val="24"/>
          <w:szCs w:val="24"/>
        </w:rPr>
        <w:t xml:space="preserve"> o, in sua assenza, dalla normativa statale sul trattamento delle missioni.</w:t>
      </w:r>
    </w:p>
    <w:p w:rsidR="008474AE" w:rsidRDefault="008474AE" w:rsidP="00847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788" w:rsidRPr="00B116B4" w:rsidRDefault="00B52B9C" w:rsidP="009A2C2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2C27">
        <w:rPr>
          <w:rFonts w:ascii="Times New Roman" w:hAnsi="Times New Roman"/>
          <w:b/>
          <w:sz w:val="24"/>
          <w:szCs w:val="24"/>
          <w:u w:val="single"/>
        </w:rPr>
        <w:t>M</w:t>
      </w:r>
      <w:r w:rsidR="007D2788" w:rsidRPr="009A2C27">
        <w:rPr>
          <w:rFonts w:ascii="Times New Roman" w:hAnsi="Times New Roman"/>
          <w:b/>
          <w:sz w:val="24"/>
          <w:szCs w:val="24"/>
          <w:u w:val="single"/>
        </w:rPr>
        <w:t>ateriale</w:t>
      </w:r>
      <w:r w:rsidR="007D2788" w:rsidRPr="00B116B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di consumo</w:t>
      </w:r>
    </w:p>
    <w:p w:rsidR="0084233B" w:rsidRPr="008C7666" w:rsidRDefault="007D2788" w:rsidP="0084233B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1F67">
        <w:rPr>
          <w:rFonts w:ascii="Times New Roman" w:hAnsi="Times New Roman"/>
          <w:color w:val="000000"/>
          <w:sz w:val="24"/>
          <w:szCs w:val="24"/>
        </w:rPr>
        <w:t>Sono</w:t>
      </w:r>
      <w:r w:rsidR="00E10F41">
        <w:rPr>
          <w:rFonts w:ascii="Times New Roman" w:hAnsi="Times New Roman"/>
          <w:color w:val="000000"/>
          <w:sz w:val="24"/>
          <w:szCs w:val="24"/>
        </w:rPr>
        <w:t xml:space="preserve"> costi</w:t>
      </w:r>
      <w:r w:rsidRPr="00971F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775C">
        <w:rPr>
          <w:rFonts w:ascii="Times New Roman" w:hAnsi="Times New Roman"/>
          <w:sz w:val="24"/>
          <w:szCs w:val="24"/>
        </w:rPr>
        <w:t>relativ</w:t>
      </w:r>
      <w:r w:rsidR="00B52B9C" w:rsidRPr="005D775C">
        <w:rPr>
          <w:rFonts w:ascii="Times New Roman" w:hAnsi="Times New Roman"/>
          <w:sz w:val="24"/>
          <w:szCs w:val="24"/>
        </w:rPr>
        <w:t>i</w:t>
      </w:r>
      <w:r w:rsidRPr="005D775C">
        <w:rPr>
          <w:rFonts w:ascii="Times New Roman" w:hAnsi="Times New Roman"/>
          <w:sz w:val="24"/>
          <w:szCs w:val="24"/>
        </w:rPr>
        <w:t xml:space="preserve"> a</w:t>
      </w:r>
      <w:r w:rsidR="00BC4D28" w:rsidRPr="005D775C">
        <w:rPr>
          <w:rFonts w:ascii="Times New Roman" w:hAnsi="Times New Roman"/>
          <w:sz w:val="24"/>
          <w:szCs w:val="24"/>
        </w:rPr>
        <w:t>ll’acquisizione</w:t>
      </w:r>
      <w:r w:rsidR="00BC4D28">
        <w:rPr>
          <w:rFonts w:ascii="Times New Roman" w:hAnsi="Times New Roman"/>
          <w:sz w:val="24"/>
          <w:szCs w:val="24"/>
        </w:rPr>
        <w:t xml:space="preserve"> d</w:t>
      </w:r>
      <w:r w:rsidRPr="00971F67">
        <w:rPr>
          <w:rFonts w:ascii="Times New Roman" w:hAnsi="Times New Roman"/>
          <w:sz w:val="24"/>
          <w:szCs w:val="24"/>
        </w:rPr>
        <w:t xml:space="preserve">i beni che esauriscono la loro vita utile nel momento stesso del </w:t>
      </w:r>
      <w:r w:rsidR="00E319E7">
        <w:rPr>
          <w:rFonts w:ascii="Times New Roman" w:hAnsi="Times New Roman"/>
          <w:sz w:val="24"/>
          <w:szCs w:val="24"/>
        </w:rPr>
        <w:t>loro utilizzo</w:t>
      </w:r>
      <w:r w:rsidR="00B116B4">
        <w:rPr>
          <w:rFonts w:ascii="Times New Roman" w:hAnsi="Times New Roman"/>
          <w:sz w:val="24"/>
          <w:szCs w:val="24"/>
        </w:rPr>
        <w:t>.</w:t>
      </w:r>
      <w:r w:rsidR="00E319E7">
        <w:rPr>
          <w:rFonts w:ascii="Times New Roman" w:hAnsi="Times New Roman"/>
          <w:sz w:val="24"/>
          <w:szCs w:val="24"/>
        </w:rPr>
        <w:t xml:space="preserve"> </w:t>
      </w:r>
      <w:r w:rsidR="00E233EE">
        <w:rPr>
          <w:rFonts w:ascii="Times New Roman" w:hAnsi="Times New Roman"/>
          <w:sz w:val="24"/>
          <w:szCs w:val="24"/>
        </w:rPr>
        <w:t>E’</w:t>
      </w:r>
      <w:r w:rsidR="005D775C">
        <w:rPr>
          <w:rFonts w:ascii="Times New Roman" w:hAnsi="Times New Roman"/>
          <w:sz w:val="24"/>
          <w:szCs w:val="24"/>
        </w:rPr>
        <w:t xml:space="preserve"> </w:t>
      </w:r>
      <w:r w:rsidR="000D4A31" w:rsidRPr="00971F67">
        <w:rPr>
          <w:rFonts w:ascii="Times New Roman" w:hAnsi="Times New Roman"/>
          <w:sz w:val="24"/>
          <w:szCs w:val="24"/>
        </w:rPr>
        <w:t>quindi</w:t>
      </w:r>
      <w:r w:rsidRPr="00971F67">
        <w:rPr>
          <w:rFonts w:ascii="Times New Roman" w:hAnsi="Times New Roman"/>
          <w:sz w:val="24"/>
          <w:szCs w:val="24"/>
        </w:rPr>
        <w:t xml:space="preserve"> escluso </w:t>
      </w:r>
      <w:r w:rsidR="000D4A31" w:rsidRPr="00971F67">
        <w:rPr>
          <w:rFonts w:ascii="Times New Roman" w:hAnsi="Times New Roman"/>
          <w:sz w:val="24"/>
          <w:szCs w:val="24"/>
        </w:rPr>
        <w:t xml:space="preserve">il </w:t>
      </w:r>
      <w:r w:rsidRPr="00971F67">
        <w:rPr>
          <w:rFonts w:ascii="Times New Roman" w:hAnsi="Times New Roman"/>
          <w:sz w:val="24"/>
          <w:szCs w:val="24"/>
        </w:rPr>
        <w:t>materiale durevole e</w:t>
      </w:r>
      <w:r w:rsidR="008C7666">
        <w:rPr>
          <w:rFonts w:ascii="Times New Roman" w:hAnsi="Times New Roman"/>
          <w:sz w:val="24"/>
          <w:szCs w:val="24"/>
        </w:rPr>
        <w:t>/o</w:t>
      </w:r>
      <w:r w:rsidRPr="00971F67">
        <w:rPr>
          <w:rFonts w:ascii="Times New Roman" w:hAnsi="Times New Roman"/>
          <w:sz w:val="24"/>
          <w:szCs w:val="24"/>
        </w:rPr>
        <w:t xml:space="preserve"> inventariabile.</w:t>
      </w:r>
      <w:r w:rsidR="0084233B">
        <w:rPr>
          <w:rFonts w:ascii="Times New Roman" w:hAnsi="Times New Roman"/>
          <w:sz w:val="24"/>
          <w:szCs w:val="24"/>
        </w:rPr>
        <w:t xml:space="preserve"> </w:t>
      </w:r>
      <w:r w:rsidR="0084233B" w:rsidRPr="00DA5592">
        <w:rPr>
          <w:rFonts w:ascii="Times New Roman" w:hAnsi="Times New Roman"/>
          <w:sz w:val="24"/>
          <w:szCs w:val="24"/>
        </w:rPr>
        <w:t xml:space="preserve">In questa voce sono </w:t>
      </w:r>
      <w:r w:rsidR="0084233B">
        <w:rPr>
          <w:rFonts w:ascii="Times New Roman" w:hAnsi="Times New Roman"/>
          <w:sz w:val="24"/>
          <w:szCs w:val="24"/>
        </w:rPr>
        <w:t xml:space="preserve">ammissibili i costi riferiti a </w:t>
      </w:r>
      <w:r w:rsidR="0084233B" w:rsidRPr="00DA5592">
        <w:rPr>
          <w:rFonts w:ascii="Times New Roman" w:hAnsi="Times New Roman"/>
          <w:sz w:val="24"/>
          <w:szCs w:val="24"/>
        </w:rPr>
        <w:t xml:space="preserve">materie prime, componenti e semilavorati 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>destinati all</w:t>
      </w:r>
      <w:r w:rsidR="0084233B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>colt</w:t>
      </w:r>
      <w:r w:rsidR="0084233B">
        <w:rPr>
          <w:rFonts w:ascii="Times New Roman" w:hAnsi="Times New Roman"/>
          <w:color w:val="000000"/>
          <w:sz w:val="24"/>
          <w:szCs w:val="24"/>
        </w:rPr>
        <w:t>ivazioni di campo e in serra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 xml:space="preserve"> (es. diserbanti, sementi, </w:t>
      </w:r>
      <w:r w:rsidR="0084233B" w:rsidRPr="00DA5592">
        <w:rPr>
          <w:rFonts w:ascii="Times New Roman" w:hAnsi="Times New Roman"/>
          <w:sz w:val="24"/>
          <w:szCs w:val="24"/>
        </w:rPr>
        <w:t>piante,</w:t>
      </w:r>
      <w:r w:rsidR="008423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33B" w:rsidRPr="00DA5592">
        <w:rPr>
          <w:rFonts w:ascii="Times New Roman" w:hAnsi="Times New Roman"/>
          <w:sz w:val="24"/>
          <w:szCs w:val="24"/>
        </w:rPr>
        <w:t>fertilizzanti, antiparassitari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233B">
        <w:rPr>
          <w:rFonts w:ascii="Times New Roman" w:hAnsi="Times New Roman"/>
          <w:color w:val="000000"/>
          <w:sz w:val="24"/>
          <w:szCs w:val="24"/>
        </w:rPr>
        <w:t xml:space="preserve">carburante, lubrificante, acqua, manichette forate per l’irrigazione, 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>vasetti,</w:t>
      </w:r>
      <w:r w:rsidR="0084233B">
        <w:rPr>
          <w:rFonts w:ascii="Times New Roman" w:hAnsi="Times New Roman"/>
          <w:color w:val="000000"/>
          <w:sz w:val="24"/>
          <w:szCs w:val="24"/>
        </w:rPr>
        <w:t xml:space="preserve"> torba, 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>ecc</w:t>
      </w:r>
      <w:r w:rsidR="0084233B" w:rsidRPr="00DA5592">
        <w:rPr>
          <w:rFonts w:ascii="Times New Roman" w:hAnsi="Times New Roman"/>
          <w:sz w:val="24"/>
          <w:szCs w:val="24"/>
        </w:rPr>
        <w:t xml:space="preserve">.), </w:t>
      </w:r>
      <w:r w:rsidR="0084233B">
        <w:rPr>
          <w:rFonts w:ascii="Times New Roman" w:hAnsi="Times New Roman"/>
          <w:sz w:val="24"/>
          <w:szCs w:val="24"/>
        </w:rPr>
        <w:t xml:space="preserve">ad </w:t>
      </w:r>
      <w:r w:rsidR="0084233B" w:rsidRPr="00DA5592">
        <w:rPr>
          <w:rFonts w:ascii="Times New Roman" w:hAnsi="Times New Roman"/>
          <w:sz w:val="24"/>
          <w:szCs w:val="24"/>
        </w:rPr>
        <w:t xml:space="preserve">allevamenti (es. medicinali, mangimi, integratori, </w:t>
      </w:r>
      <w:r w:rsidR="0084233B">
        <w:rPr>
          <w:rFonts w:ascii="Times New Roman" w:hAnsi="Times New Roman"/>
          <w:sz w:val="24"/>
          <w:szCs w:val="24"/>
        </w:rPr>
        <w:t>prodotti per l’</w:t>
      </w:r>
      <w:r w:rsidR="0084233B" w:rsidRPr="00DA5592">
        <w:rPr>
          <w:rFonts w:ascii="Times New Roman" w:hAnsi="Times New Roman"/>
          <w:sz w:val="24"/>
          <w:szCs w:val="24"/>
        </w:rPr>
        <w:t xml:space="preserve">inseminazione artificiale, </w:t>
      </w:r>
      <w:r w:rsidR="0084233B">
        <w:rPr>
          <w:rFonts w:ascii="Times New Roman" w:hAnsi="Times New Roman"/>
          <w:sz w:val="24"/>
          <w:szCs w:val="24"/>
        </w:rPr>
        <w:t>e</w:t>
      </w:r>
      <w:r w:rsidR="0084233B" w:rsidRPr="00DA5592">
        <w:rPr>
          <w:rFonts w:ascii="Times New Roman" w:hAnsi="Times New Roman"/>
          <w:sz w:val="24"/>
          <w:szCs w:val="24"/>
        </w:rPr>
        <w:t xml:space="preserve">cc.), </w:t>
      </w:r>
      <w:r w:rsidR="0084233B">
        <w:rPr>
          <w:rFonts w:ascii="Times New Roman" w:hAnsi="Times New Roman"/>
          <w:sz w:val="24"/>
          <w:szCs w:val="24"/>
        </w:rPr>
        <w:t>all’espletamento di attività di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 xml:space="preserve"> laboratori</w:t>
      </w:r>
      <w:r w:rsidR="0084233B">
        <w:rPr>
          <w:rFonts w:ascii="Times New Roman" w:hAnsi="Times New Roman"/>
          <w:color w:val="000000"/>
          <w:sz w:val="24"/>
          <w:szCs w:val="24"/>
        </w:rPr>
        <w:t>o ed analisi chimiche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 xml:space="preserve"> (es. </w:t>
      </w:r>
      <w:r w:rsidR="0084233B">
        <w:rPr>
          <w:rFonts w:ascii="Times New Roman" w:hAnsi="Times New Roman"/>
          <w:color w:val="000000"/>
          <w:sz w:val="24"/>
          <w:szCs w:val="24"/>
        </w:rPr>
        <w:t>kit genetici,</w:t>
      </w:r>
      <w:r w:rsidR="0084233B" w:rsidRPr="00DA5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75C" w:rsidRPr="008C7666">
        <w:rPr>
          <w:rFonts w:ascii="Times New Roman" w:hAnsi="Times New Roman"/>
          <w:sz w:val="24"/>
          <w:szCs w:val="24"/>
        </w:rPr>
        <w:t xml:space="preserve">sostanze </w:t>
      </w:r>
      <w:r w:rsidR="0084233B" w:rsidRPr="008C7666">
        <w:rPr>
          <w:rFonts w:ascii="Times New Roman" w:hAnsi="Times New Roman"/>
          <w:sz w:val="24"/>
          <w:szCs w:val="24"/>
        </w:rPr>
        <w:t xml:space="preserve">di laboratorio, acidi, provette, reagenti, </w:t>
      </w:r>
      <w:r w:rsidR="005D775C" w:rsidRPr="008C7666">
        <w:rPr>
          <w:rFonts w:ascii="Times New Roman" w:hAnsi="Times New Roman"/>
          <w:sz w:val="24"/>
          <w:szCs w:val="24"/>
        </w:rPr>
        <w:t>dispositivi di protezione</w:t>
      </w:r>
      <w:r w:rsidR="0084233B" w:rsidRPr="008C7666">
        <w:rPr>
          <w:rFonts w:ascii="Times New Roman" w:hAnsi="Times New Roman"/>
          <w:sz w:val="24"/>
          <w:szCs w:val="24"/>
        </w:rPr>
        <w:t>, ecc.).</w:t>
      </w:r>
    </w:p>
    <w:p w:rsidR="007D2788" w:rsidRPr="00B116B4" w:rsidRDefault="00B52B9C" w:rsidP="009A2C2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2C27">
        <w:rPr>
          <w:rFonts w:ascii="Times New Roman" w:hAnsi="Times New Roman"/>
          <w:b/>
          <w:sz w:val="24"/>
          <w:szCs w:val="24"/>
          <w:u w:val="single"/>
        </w:rPr>
        <w:t>A</w:t>
      </w:r>
      <w:r w:rsidR="007D2788" w:rsidRPr="009A2C27">
        <w:rPr>
          <w:rFonts w:ascii="Times New Roman" w:hAnsi="Times New Roman"/>
          <w:b/>
          <w:sz w:val="24"/>
          <w:szCs w:val="24"/>
          <w:u w:val="single"/>
        </w:rPr>
        <w:t>ttività</w:t>
      </w:r>
      <w:r w:rsidR="007D2788" w:rsidRPr="00B116B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esterne </w:t>
      </w:r>
    </w:p>
    <w:p w:rsidR="00FD03B0" w:rsidRPr="00524186" w:rsidRDefault="007D2788" w:rsidP="001F27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1655F">
        <w:rPr>
          <w:rFonts w:ascii="Times New Roman" w:hAnsi="Times New Roman"/>
          <w:sz w:val="24"/>
          <w:szCs w:val="24"/>
        </w:rPr>
        <w:t xml:space="preserve">Sono </w:t>
      </w:r>
      <w:r w:rsidR="00E10F41">
        <w:rPr>
          <w:rFonts w:ascii="Times New Roman" w:hAnsi="Times New Roman"/>
          <w:sz w:val="24"/>
          <w:szCs w:val="24"/>
        </w:rPr>
        <w:t xml:space="preserve">costi </w:t>
      </w:r>
      <w:r w:rsidR="00524186" w:rsidRPr="00F1655F">
        <w:rPr>
          <w:rFonts w:ascii="Times New Roman" w:hAnsi="Times New Roman"/>
          <w:sz w:val="24"/>
          <w:szCs w:val="24"/>
        </w:rPr>
        <w:t>relativi alle attività effettuate da soggetti esterni all’unità operativa</w:t>
      </w:r>
      <w:r w:rsidR="00D11B78">
        <w:rPr>
          <w:rFonts w:ascii="Times New Roman" w:hAnsi="Times New Roman"/>
          <w:sz w:val="24"/>
          <w:szCs w:val="24"/>
        </w:rPr>
        <w:t xml:space="preserve"> U.O.</w:t>
      </w:r>
      <w:r w:rsidR="008C7666">
        <w:rPr>
          <w:rFonts w:ascii="Times New Roman" w:hAnsi="Times New Roman"/>
          <w:sz w:val="24"/>
          <w:szCs w:val="24"/>
        </w:rPr>
        <w:t xml:space="preserve"> e sono </w:t>
      </w:r>
      <w:r w:rsidR="00524186" w:rsidRPr="00F1655F">
        <w:rPr>
          <w:rFonts w:ascii="Times New Roman" w:hAnsi="Times New Roman"/>
          <w:sz w:val="24"/>
          <w:szCs w:val="24"/>
        </w:rPr>
        <w:t>così distint</w:t>
      </w:r>
      <w:r w:rsidR="00B52B9C">
        <w:rPr>
          <w:rFonts w:ascii="Times New Roman" w:hAnsi="Times New Roman"/>
          <w:sz w:val="24"/>
          <w:szCs w:val="24"/>
        </w:rPr>
        <w:t>i</w:t>
      </w:r>
      <w:r w:rsidR="00524186" w:rsidRPr="00F1655F">
        <w:rPr>
          <w:rFonts w:ascii="Times New Roman" w:hAnsi="Times New Roman"/>
          <w:sz w:val="24"/>
          <w:szCs w:val="24"/>
        </w:rPr>
        <w:t>:</w:t>
      </w:r>
      <w:r w:rsidR="005241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03B0" w:rsidRPr="00524186" w:rsidRDefault="00FD03B0" w:rsidP="008474AE">
      <w:p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71F67">
        <w:rPr>
          <w:rFonts w:ascii="Times New Roman" w:hAnsi="Times New Roman"/>
          <w:color w:val="000000"/>
          <w:sz w:val="24"/>
          <w:szCs w:val="24"/>
        </w:rPr>
        <w:t>C1)</w:t>
      </w:r>
      <w:r w:rsidR="007D2788" w:rsidRPr="00971F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186">
        <w:rPr>
          <w:rFonts w:ascii="Times New Roman" w:hAnsi="Times New Roman"/>
          <w:i/>
          <w:color w:val="000000"/>
          <w:sz w:val="24"/>
          <w:szCs w:val="24"/>
        </w:rPr>
        <w:t>C</w:t>
      </w:r>
      <w:r w:rsidR="007D2788" w:rsidRPr="00524186">
        <w:rPr>
          <w:rFonts w:ascii="Times New Roman" w:hAnsi="Times New Roman"/>
          <w:i/>
          <w:color w:val="000000"/>
          <w:sz w:val="24"/>
          <w:szCs w:val="24"/>
        </w:rPr>
        <w:t>onsulenze ed incarichi professionali</w:t>
      </w:r>
      <w:r w:rsidR="005241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24186" w:rsidRPr="00524186">
        <w:rPr>
          <w:rFonts w:ascii="Times New Roman" w:hAnsi="Times New Roman"/>
          <w:sz w:val="24"/>
          <w:szCs w:val="24"/>
        </w:rPr>
        <w:t>prestazioni di carattere scientifico o tecnico-scientifico regolate da atto di impegno giuridicamente valido, svolte da persone fisiche con partita I.V.A. (</w:t>
      </w:r>
      <w:r w:rsidR="001C0CFE">
        <w:rPr>
          <w:rFonts w:ascii="Times New Roman" w:hAnsi="Times New Roman"/>
          <w:sz w:val="24"/>
          <w:szCs w:val="24"/>
        </w:rPr>
        <w:t>libero professionista</w:t>
      </w:r>
      <w:r w:rsidR="00524186" w:rsidRPr="00524186">
        <w:rPr>
          <w:rFonts w:ascii="Times New Roman" w:hAnsi="Times New Roman"/>
          <w:sz w:val="24"/>
          <w:szCs w:val="24"/>
        </w:rPr>
        <w:t xml:space="preserve">) o da persone giuridiche. </w:t>
      </w:r>
    </w:p>
    <w:p w:rsidR="008474AE" w:rsidRDefault="00FD03B0" w:rsidP="008474AE">
      <w:p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71F67">
        <w:rPr>
          <w:rFonts w:ascii="Times New Roman" w:hAnsi="Times New Roman"/>
          <w:color w:val="000000"/>
          <w:sz w:val="24"/>
          <w:szCs w:val="24"/>
        </w:rPr>
        <w:t>C</w:t>
      </w:r>
      <w:r w:rsidR="00B116B4">
        <w:rPr>
          <w:rFonts w:ascii="Times New Roman" w:hAnsi="Times New Roman"/>
          <w:color w:val="000000"/>
          <w:sz w:val="24"/>
          <w:szCs w:val="24"/>
        </w:rPr>
        <w:t>2</w:t>
      </w:r>
      <w:r w:rsidRPr="00971F67">
        <w:rPr>
          <w:rFonts w:ascii="Times New Roman" w:hAnsi="Times New Roman"/>
          <w:color w:val="000000"/>
          <w:sz w:val="24"/>
          <w:szCs w:val="24"/>
        </w:rPr>
        <w:t>)</w:t>
      </w:r>
      <w:r w:rsidR="008474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666">
        <w:rPr>
          <w:rFonts w:ascii="Times New Roman" w:hAnsi="Times New Roman"/>
          <w:i/>
          <w:color w:val="000000"/>
          <w:sz w:val="24"/>
          <w:szCs w:val="24"/>
        </w:rPr>
        <w:t>Forniture</w:t>
      </w:r>
      <w:r w:rsidR="00E319E7" w:rsidRPr="0052418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D0A8F">
        <w:rPr>
          <w:rFonts w:ascii="Times New Roman" w:hAnsi="Times New Roman"/>
          <w:i/>
          <w:color w:val="000000"/>
          <w:sz w:val="24"/>
          <w:szCs w:val="24"/>
        </w:rPr>
        <w:t>di</w:t>
      </w:r>
      <w:r w:rsidR="00E319E7" w:rsidRPr="0052418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24186" w:rsidRPr="00524186">
        <w:rPr>
          <w:rFonts w:ascii="Times New Roman" w:hAnsi="Times New Roman"/>
          <w:i/>
          <w:color w:val="000000"/>
          <w:sz w:val="24"/>
          <w:szCs w:val="24"/>
        </w:rPr>
        <w:t>s</w:t>
      </w:r>
      <w:r w:rsidR="007D2788" w:rsidRPr="00524186">
        <w:rPr>
          <w:rFonts w:ascii="Times New Roman" w:hAnsi="Times New Roman"/>
          <w:i/>
          <w:sz w:val="24"/>
          <w:szCs w:val="24"/>
        </w:rPr>
        <w:t>ervizi</w:t>
      </w:r>
      <w:r w:rsidR="00524186">
        <w:rPr>
          <w:rFonts w:ascii="Times New Roman" w:hAnsi="Times New Roman"/>
          <w:sz w:val="24"/>
          <w:szCs w:val="24"/>
        </w:rPr>
        <w:t xml:space="preserve">: </w:t>
      </w:r>
      <w:r w:rsidR="00524186" w:rsidRPr="00524186">
        <w:rPr>
          <w:rFonts w:ascii="Times New Roman" w:hAnsi="Times New Roman"/>
          <w:sz w:val="24"/>
          <w:szCs w:val="24"/>
        </w:rPr>
        <w:t xml:space="preserve">rese da persone fisiche o giuridiche, </w:t>
      </w:r>
      <w:r w:rsidR="00F1655F">
        <w:rPr>
          <w:rFonts w:ascii="Times New Roman" w:hAnsi="Times New Roman"/>
          <w:sz w:val="24"/>
          <w:szCs w:val="24"/>
        </w:rPr>
        <w:t xml:space="preserve">aventi </w:t>
      </w:r>
      <w:r w:rsidR="003319EB" w:rsidRPr="00F1655F">
        <w:rPr>
          <w:rFonts w:ascii="Times New Roman" w:hAnsi="Times New Roman"/>
          <w:sz w:val="24"/>
          <w:szCs w:val="24"/>
        </w:rPr>
        <w:t>per oggetto</w:t>
      </w:r>
      <w:r w:rsidR="00761D69">
        <w:rPr>
          <w:rFonts w:ascii="Times New Roman" w:hAnsi="Times New Roman"/>
          <w:sz w:val="24"/>
          <w:szCs w:val="24"/>
        </w:rPr>
        <w:t xml:space="preserve"> la </w:t>
      </w:r>
      <w:r w:rsidR="008474AE">
        <w:rPr>
          <w:rFonts w:ascii="Times New Roman" w:hAnsi="Times New Roman"/>
          <w:sz w:val="24"/>
          <w:szCs w:val="24"/>
        </w:rPr>
        <w:t xml:space="preserve">  </w:t>
      </w:r>
      <w:r w:rsidR="00761D69">
        <w:rPr>
          <w:rFonts w:ascii="Times New Roman" w:hAnsi="Times New Roman"/>
          <w:sz w:val="24"/>
          <w:szCs w:val="24"/>
        </w:rPr>
        <w:t>realizzazione di una parte non preponderante delle attività di ricerca</w:t>
      </w:r>
      <w:r w:rsidR="003319EB" w:rsidRPr="00F1655F">
        <w:rPr>
          <w:rFonts w:ascii="Times New Roman" w:hAnsi="Times New Roman"/>
          <w:sz w:val="24"/>
          <w:szCs w:val="24"/>
        </w:rPr>
        <w:t>:</w:t>
      </w:r>
    </w:p>
    <w:p w:rsidR="008474AE" w:rsidRDefault="00524186" w:rsidP="008474AE">
      <w:pPr>
        <w:pStyle w:val="Paragrafoelenco"/>
        <w:numPr>
          <w:ilvl w:val="3"/>
          <w:numId w:val="9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474AE">
        <w:rPr>
          <w:rFonts w:ascii="Times New Roman" w:hAnsi="Times New Roman"/>
          <w:sz w:val="24"/>
          <w:szCs w:val="24"/>
        </w:rPr>
        <w:t xml:space="preserve">servizi di </w:t>
      </w:r>
      <w:r w:rsidR="009C4295" w:rsidRPr="008474AE">
        <w:rPr>
          <w:rFonts w:ascii="Times New Roman" w:hAnsi="Times New Roman"/>
          <w:sz w:val="24"/>
          <w:szCs w:val="24"/>
        </w:rPr>
        <w:t>natura</w:t>
      </w:r>
      <w:r w:rsidRPr="008474AE">
        <w:rPr>
          <w:rFonts w:ascii="Times New Roman" w:hAnsi="Times New Roman"/>
          <w:sz w:val="24"/>
          <w:szCs w:val="24"/>
        </w:rPr>
        <w:t xml:space="preserve"> </w:t>
      </w:r>
      <w:r w:rsidR="009C4295" w:rsidRPr="008474AE">
        <w:rPr>
          <w:rFonts w:ascii="Times New Roman" w:hAnsi="Times New Roman"/>
          <w:sz w:val="24"/>
          <w:szCs w:val="24"/>
        </w:rPr>
        <w:t>specialistic</w:t>
      </w:r>
      <w:r w:rsidR="004D7A30" w:rsidRPr="008474AE">
        <w:rPr>
          <w:rFonts w:ascii="Times New Roman" w:hAnsi="Times New Roman"/>
          <w:sz w:val="24"/>
          <w:szCs w:val="24"/>
        </w:rPr>
        <w:t>a</w:t>
      </w:r>
      <w:r w:rsidR="009C4295" w:rsidRPr="008474AE">
        <w:rPr>
          <w:rFonts w:ascii="Times New Roman" w:hAnsi="Times New Roman"/>
          <w:sz w:val="24"/>
          <w:szCs w:val="24"/>
        </w:rPr>
        <w:t xml:space="preserve"> </w:t>
      </w:r>
      <w:r w:rsidR="004D7A30" w:rsidRPr="008474AE">
        <w:rPr>
          <w:rFonts w:ascii="Times New Roman" w:hAnsi="Times New Roman"/>
          <w:sz w:val="24"/>
          <w:szCs w:val="24"/>
        </w:rPr>
        <w:t>(</w:t>
      </w:r>
      <w:r w:rsidR="00BF347C" w:rsidRPr="008474AE">
        <w:rPr>
          <w:rFonts w:ascii="Times New Roman" w:hAnsi="Times New Roman"/>
          <w:sz w:val="24"/>
          <w:szCs w:val="24"/>
        </w:rPr>
        <w:t>analisi</w:t>
      </w:r>
      <w:r w:rsidR="004D7A30" w:rsidRPr="008474AE">
        <w:rPr>
          <w:rFonts w:ascii="Times New Roman" w:hAnsi="Times New Roman"/>
          <w:sz w:val="24"/>
          <w:szCs w:val="24"/>
        </w:rPr>
        <w:t xml:space="preserve"> varie di </w:t>
      </w:r>
      <w:r w:rsidRPr="008474AE">
        <w:rPr>
          <w:rFonts w:ascii="Times New Roman" w:hAnsi="Times New Roman"/>
          <w:sz w:val="24"/>
          <w:szCs w:val="24"/>
        </w:rPr>
        <w:t>laboratorio</w:t>
      </w:r>
      <w:r w:rsidR="004D7A30" w:rsidRPr="008474AE">
        <w:rPr>
          <w:rFonts w:ascii="Times New Roman" w:hAnsi="Times New Roman"/>
          <w:sz w:val="24"/>
          <w:szCs w:val="24"/>
        </w:rPr>
        <w:t>: chimiche, fisiche, genetiche</w:t>
      </w:r>
      <w:r w:rsidR="00DB16A1" w:rsidRPr="008474AE">
        <w:rPr>
          <w:rFonts w:ascii="Times New Roman" w:hAnsi="Times New Roman"/>
          <w:sz w:val="24"/>
          <w:szCs w:val="24"/>
        </w:rPr>
        <w:t>,</w:t>
      </w:r>
      <w:r w:rsidR="004D7A30" w:rsidRPr="008474AE">
        <w:rPr>
          <w:rFonts w:ascii="Times New Roman" w:hAnsi="Times New Roman"/>
          <w:sz w:val="24"/>
          <w:szCs w:val="24"/>
        </w:rPr>
        <w:t xml:space="preserve"> gestione dati: es. banche dati</w:t>
      </w:r>
      <w:r w:rsidR="00DB16A1" w:rsidRPr="008474AE">
        <w:rPr>
          <w:rFonts w:ascii="Times New Roman" w:hAnsi="Times New Roman"/>
          <w:sz w:val="24"/>
          <w:szCs w:val="24"/>
        </w:rPr>
        <w:t xml:space="preserve">, pubblicazioni, open </w:t>
      </w:r>
      <w:proofErr w:type="spellStart"/>
      <w:r w:rsidR="00DB16A1" w:rsidRPr="008474AE">
        <w:rPr>
          <w:rFonts w:ascii="Times New Roman" w:hAnsi="Times New Roman"/>
          <w:sz w:val="24"/>
          <w:szCs w:val="24"/>
        </w:rPr>
        <w:t>access</w:t>
      </w:r>
      <w:proofErr w:type="spellEnd"/>
      <w:r w:rsidR="00DB16A1" w:rsidRPr="008474AE">
        <w:rPr>
          <w:rFonts w:ascii="Times New Roman" w:hAnsi="Times New Roman"/>
          <w:sz w:val="24"/>
          <w:szCs w:val="24"/>
        </w:rPr>
        <w:t>, ecc</w:t>
      </w:r>
      <w:r w:rsidR="00E10F41" w:rsidRPr="008474AE">
        <w:rPr>
          <w:rFonts w:ascii="Times New Roman" w:hAnsi="Times New Roman"/>
          <w:sz w:val="24"/>
          <w:szCs w:val="24"/>
        </w:rPr>
        <w:t>.</w:t>
      </w:r>
      <w:r w:rsidR="009C4295" w:rsidRPr="008474AE">
        <w:rPr>
          <w:rFonts w:ascii="Times New Roman" w:hAnsi="Times New Roman"/>
          <w:sz w:val="24"/>
          <w:szCs w:val="24"/>
        </w:rPr>
        <w:t>)</w:t>
      </w:r>
      <w:r w:rsidRPr="008474AE">
        <w:rPr>
          <w:rFonts w:ascii="Times New Roman" w:hAnsi="Times New Roman"/>
          <w:sz w:val="24"/>
          <w:szCs w:val="24"/>
        </w:rPr>
        <w:t>;</w:t>
      </w:r>
    </w:p>
    <w:p w:rsidR="008474AE" w:rsidRDefault="00D11B78" w:rsidP="008474AE">
      <w:pPr>
        <w:pStyle w:val="Paragrafoelenco"/>
        <w:numPr>
          <w:ilvl w:val="3"/>
          <w:numId w:val="9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474AE">
        <w:rPr>
          <w:rFonts w:ascii="Times New Roman" w:hAnsi="Times New Roman"/>
          <w:sz w:val="24"/>
          <w:szCs w:val="24"/>
        </w:rPr>
        <w:t xml:space="preserve">servizi di carattere </w:t>
      </w:r>
      <w:r w:rsidR="00296B8A" w:rsidRPr="008474AE">
        <w:rPr>
          <w:rFonts w:ascii="Times New Roman" w:hAnsi="Times New Roman"/>
          <w:sz w:val="24"/>
          <w:szCs w:val="24"/>
        </w:rPr>
        <w:t>altamente</w:t>
      </w:r>
      <w:r w:rsidRPr="008474AE">
        <w:rPr>
          <w:rFonts w:ascii="Times New Roman" w:hAnsi="Times New Roman"/>
          <w:sz w:val="24"/>
          <w:szCs w:val="24"/>
        </w:rPr>
        <w:t xml:space="preserve"> scientifico</w:t>
      </w:r>
      <w:r w:rsidR="004D7A30" w:rsidRPr="008474AE">
        <w:rPr>
          <w:rFonts w:ascii="Times New Roman" w:hAnsi="Times New Roman"/>
          <w:sz w:val="24"/>
          <w:szCs w:val="24"/>
        </w:rPr>
        <w:t xml:space="preserve"> e specific</w:t>
      </w:r>
      <w:r w:rsidR="00DB16A1" w:rsidRPr="008474AE">
        <w:rPr>
          <w:rFonts w:ascii="Times New Roman" w:hAnsi="Times New Roman"/>
          <w:sz w:val="24"/>
          <w:szCs w:val="24"/>
        </w:rPr>
        <w:t>o</w:t>
      </w:r>
      <w:r w:rsidR="00761D69" w:rsidRPr="008474AE">
        <w:rPr>
          <w:rFonts w:ascii="Times New Roman" w:hAnsi="Times New Roman"/>
          <w:sz w:val="24"/>
          <w:szCs w:val="24"/>
        </w:rPr>
        <w:t>;</w:t>
      </w:r>
      <w:r w:rsidRPr="008474AE">
        <w:rPr>
          <w:rFonts w:ascii="Times New Roman" w:hAnsi="Times New Roman"/>
          <w:sz w:val="24"/>
          <w:szCs w:val="24"/>
        </w:rPr>
        <w:t xml:space="preserve"> </w:t>
      </w:r>
    </w:p>
    <w:p w:rsidR="008474AE" w:rsidRDefault="00524186" w:rsidP="008474AE">
      <w:pPr>
        <w:pStyle w:val="Paragrafoelenco"/>
        <w:numPr>
          <w:ilvl w:val="3"/>
          <w:numId w:val="9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474AE">
        <w:rPr>
          <w:rFonts w:ascii="Times New Roman" w:hAnsi="Times New Roman"/>
          <w:sz w:val="24"/>
          <w:szCs w:val="24"/>
        </w:rPr>
        <w:t>servizi di catering, affitto di sale per convegni, ecc.;</w:t>
      </w:r>
    </w:p>
    <w:p w:rsidR="008474AE" w:rsidRDefault="009C4295" w:rsidP="008474AE">
      <w:pPr>
        <w:pStyle w:val="Paragrafoelenco"/>
        <w:numPr>
          <w:ilvl w:val="3"/>
          <w:numId w:val="9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474AE">
        <w:rPr>
          <w:rFonts w:ascii="Times New Roman" w:hAnsi="Times New Roman"/>
          <w:sz w:val="24"/>
          <w:szCs w:val="24"/>
        </w:rPr>
        <w:t xml:space="preserve">servizi di </w:t>
      </w:r>
      <w:r w:rsidR="00F1655F" w:rsidRPr="008474AE">
        <w:rPr>
          <w:rFonts w:ascii="Times New Roman" w:hAnsi="Times New Roman"/>
          <w:sz w:val="24"/>
          <w:szCs w:val="24"/>
        </w:rPr>
        <w:t>n</w:t>
      </w:r>
      <w:r w:rsidR="003319EB" w:rsidRPr="008474AE">
        <w:rPr>
          <w:rFonts w:ascii="Times New Roman" w:hAnsi="Times New Roman"/>
          <w:sz w:val="24"/>
          <w:szCs w:val="24"/>
        </w:rPr>
        <w:t>oleggio di macchine agricole con o senza conducente (</w:t>
      </w:r>
      <w:r w:rsidR="00524186" w:rsidRPr="008474AE">
        <w:rPr>
          <w:rFonts w:ascii="Times New Roman" w:hAnsi="Times New Roman"/>
          <w:sz w:val="24"/>
          <w:szCs w:val="24"/>
        </w:rPr>
        <w:t>contoterzisti</w:t>
      </w:r>
      <w:r w:rsidR="003319EB" w:rsidRPr="008474AE">
        <w:rPr>
          <w:rFonts w:ascii="Times New Roman" w:hAnsi="Times New Roman"/>
          <w:sz w:val="24"/>
          <w:szCs w:val="24"/>
        </w:rPr>
        <w:t>)</w:t>
      </w:r>
      <w:r w:rsidR="00524186" w:rsidRPr="008474AE">
        <w:rPr>
          <w:rFonts w:ascii="Times New Roman" w:hAnsi="Times New Roman"/>
          <w:sz w:val="24"/>
          <w:szCs w:val="24"/>
        </w:rPr>
        <w:t>.</w:t>
      </w:r>
    </w:p>
    <w:p w:rsidR="00CA79FF" w:rsidRPr="008474AE" w:rsidRDefault="00CA79FF" w:rsidP="008474AE">
      <w:pPr>
        <w:pStyle w:val="Paragrafoelenco"/>
        <w:numPr>
          <w:ilvl w:val="3"/>
          <w:numId w:val="9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474AE">
        <w:rPr>
          <w:rFonts w:ascii="Times New Roman" w:hAnsi="Times New Roman"/>
          <w:sz w:val="24"/>
          <w:szCs w:val="24"/>
        </w:rPr>
        <w:t>manutenzioni/riparazioni ordinarie e straordinarie di attrezzature, strumentazioni e macchine agricole in misura pari alla quota d’uso indicata nella relativa sezione della scheda di progetto (Allegato 1)</w:t>
      </w:r>
    </w:p>
    <w:p w:rsidR="00511D41" w:rsidRDefault="00F1655F" w:rsidP="00847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espressamente esclusi </w:t>
      </w:r>
      <w:r w:rsidR="00D237E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237E8">
        <w:rPr>
          <w:rFonts w:ascii="Times New Roman" w:hAnsi="Times New Roman"/>
          <w:sz w:val="24"/>
          <w:szCs w:val="24"/>
        </w:rPr>
        <w:t xml:space="preserve">servizi di </w:t>
      </w:r>
      <w:r>
        <w:rPr>
          <w:rFonts w:ascii="Times New Roman" w:hAnsi="Times New Roman"/>
          <w:sz w:val="24"/>
          <w:szCs w:val="24"/>
        </w:rPr>
        <w:t xml:space="preserve">leasing e </w:t>
      </w:r>
      <w:r w:rsidR="00D237E8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noleggio di lungo termine.</w:t>
      </w:r>
    </w:p>
    <w:p w:rsidR="008474AE" w:rsidRPr="008C7666" w:rsidRDefault="00B116B4" w:rsidP="008474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7666">
        <w:rPr>
          <w:rFonts w:ascii="Times New Roman" w:hAnsi="Times New Roman"/>
          <w:sz w:val="24"/>
          <w:szCs w:val="24"/>
        </w:rPr>
        <w:t>L</w:t>
      </w:r>
      <w:r w:rsidR="001F27B7" w:rsidRPr="008C7666">
        <w:rPr>
          <w:rFonts w:ascii="Times New Roman" w:hAnsi="Times New Roman"/>
          <w:sz w:val="24"/>
          <w:szCs w:val="24"/>
        </w:rPr>
        <w:t xml:space="preserve">’importo </w:t>
      </w:r>
      <w:r w:rsidR="003A47E6" w:rsidRPr="008C7666">
        <w:rPr>
          <w:rFonts w:ascii="Times New Roman" w:hAnsi="Times New Roman"/>
          <w:sz w:val="24"/>
          <w:szCs w:val="24"/>
        </w:rPr>
        <w:t>relativ</w:t>
      </w:r>
      <w:r w:rsidR="001F27B7" w:rsidRPr="008C7666">
        <w:rPr>
          <w:rFonts w:ascii="Times New Roman" w:hAnsi="Times New Roman"/>
          <w:sz w:val="24"/>
          <w:szCs w:val="24"/>
        </w:rPr>
        <w:t>o</w:t>
      </w:r>
      <w:r w:rsidR="003A47E6" w:rsidRPr="008C7666">
        <w:rPr>
          <w:rFonts w:ascii="Times New Roman" w:hAnsi="Times New Roman"/>
          <w:sz w:val="24"/>
          <w:szCs w:val="24"/>
        </w:rPr>
        <w:t xml:space="preserve"> </w:t>
      </w:r>
      <w:r w:rsidR="00272767" w:rsidRPr="008C7666">
        <w:rPr>
          <w:rFonts w:ascii="Times New Roman" w:hAnsi="Times New Roman"/>
          <w:sz w:val="24"/>
          <w:szCs w:val="24"/>
        </w:rPr>
        <w:t xml:space="preserve">a tale </w:t>
      </w:r>
      <w:r w:rsidR="003A47E6" w:rsidRPr="008C7666">
        <w:rPr>
          <w:rFonts w:ascii="Times New Roman" w:hAnsi="Times New Roman"/>
          <w:sz w:val="24"/>
          <w:szCs w:val="24"/>
        </w:rPr>
        <w:t xml:space="preserve">voce di costo </w:t>
      </w:r>
      <w:r w:rsidR="00A733BB" w:rsidRPr="008C7666">
        <w:rPr>
          <w:rFonts w:ascii="Times New Roman" w:hAnsi="Times New Roman"/>
          <w:sz w:val="24"/>
          <w:szCs w:val="24"/>
        </w:rPr>
        <w:t xml:space="preserve">(Attività </w:t>
      </w:r>
      <w:r w:rsidR="00A733BB" w:rsidRPr="008C7666">
        <w:rPr>
          <w:rFonts w:ascii="Times New Roman" w:hAnsi="Times New Roman"/>
          <w:caps/>
          <w:sz w:val="24"/>
          <w:szCs w:val="24"/>
        </w:rPr>
        <w:t>E</w:t>
      </w:r>
      <w:r w:rsidR="00A733BB" w:rsidRPr="008C7666">
        <w:rPr>
          <w:rFonts w:ascii="Times New Roman" w:hAnsi="Times New Roman"/>
          <w:sz w:val="24"/>
          <w:szCs w:val="24"/>
        </w:rPr>
        <w:t xml:space="preserve">sterne) </w:t>
      </w:r>
      <w:r w:rsidR="009D6204" w:rsidRPr="008C7666">
        <w:rPr>
          <w:rFonts w:ascii="Times New Roman" w:hAnsi="Times New Roman"/>
          <w:sz w:val="24"/>
          <w:szCs w:val="24"/>
        </w:rPr>
        <w:t>non</w:t>
      </w:r>
      <w:r w:rsidR="00272767" w:rsidRPr="008C7666">
        <w:rPr>
          <w:rFonts w:ascii="Times New Roman" w:hAnsi="Times New Roman"/>
          <w:sz w:val="24"/>
          <w:szCs w:val="24"/>
        </w:rPr>
        <w:t xml:space="preserve"> deve</w:t>
      </w:r>
      <w:r w:rsidR="009D6204" w:rsidRPr="008C7666">
        <w:rPr>
          <w:rFonts w:ascii="Times New Roman" w:hAnsi="Times New Roman"/>
          <w:sz w:val="24"/>
          <w:szCs w:val="24"/>
        </w:rPr>
        <w:t xml:space="preserve"> superare il </w:t>
      </w:r>
      <w:r w:rsidR="00272767" w:rsidRPr="008C7666">
        <w:rPr>
          <w:rFonts w:ascii="Times New Roman" w:hAnsi="Times New Roman"/>
          <w:sz w:val="24"/>
          <w:szCs w:val="24"/>
        </w:rPr>
        <w:t>30</w:t>
      </w:r>
      <w:r w:rsidR="009D6204" w:rsidRPr="008C7666">
        <w:rPr>
          <w:rFonts w:ascii="Times New Roman" w:hAnsi="Times New Roman"/>
          <w:sz w:val="24"/>
          <w:szCs w:val="24"/>
        </w:rPr>
        <w:t xml:space="preserve">% </w:t>
      </w:r>
      <w:r w:rsidR="004D7A30" w:rsidRPr="008C7666">
        <w:rPr>
          <w:rFonts w:ascii="Times New Roman" w:hAnsi="Times New Roman"/>
          <w:sz w:val="24"/>
          <w:szCs w:val="24"/>
        </w:rPr>
        <w:t>della somma delle voci ammesse a contributo, escluse “spese generali” e “coordinamento</w:t>
      </w:r>
      <w:r w:rsidR="00E5673A">
        <w:rPr>
          <w:rFonts w:ascii="Times New Roman" w:hAnsi="Times New Roman"/>
          <w:sz w:val="24"/>
          <w:szCs w:val="24"/>
        </w:rPr>
        <w:t>”.</w:t>
      </w:r>
    </w:p>
    <w:p w:rsidR="007D2788" w:rsidRPr="001F27B7" w:rsidRDefault="00831475" w:rsidP="002454F1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7D2788" w:rsidRPr="001F27B7">
        <w:rPr>
          <w:rFonts w:ascii="Times New Roman" w:hAnsi="Times New Roman"/>
          <w:b/>
          <w:sz w:val="24"/>
          <w:szCs w:val="24"/>
          <w:u w:val="single"/>
        </w:rPr>
        <w:t xml:space="preserve">ttrezzature </w:t>
      </w:r>
      <w:r w:rsidR="00F30CD7" w:rsidRPr="001F27B7">
        <w:rPr>
          <w:rFonts w:ascii="Times New Roman" w:hAnsi="Times New Roman"/>
          <w:b/>
          <w:sz w:val="24"/>
          <w:szCs w:val="24"/>
          <w:u w:val="single"/>
        </w:rPr>
        <w:t xml:space="preserve">e strumentazioni </w:t>
      </w:r>
      <w:r w:rsidR="007D2788" w:rsidRPr="001F27B7">
        <w:rPr>
          <w:rFonts w:ascii="Times New Roman" w:hAnsi="Times New Roman"/>
          <w:b/>
          <w:sz w:val="24"/>
          <w:szCs w:val="24"/>
          <w:u w:val="single"/>
        </w:rPr>
        <w:t>tecnico-scientifiche/materiale inventariabile</w:t>
      </w:r>
    </w:p>
    <w:p w:rsidR="00D12AA6" w:rsidRPr="00E5673A" w:rsidRDefault="00296B8A" w:rsidP="00C6396E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C07D6" w:rsidRPr="003319EB">
        <w:rPr>
          <w:rFonts w:ascii="Times New Roman" w:hAnsi="Times New Roman"/>
          <w:sz w:val="24"/>
          <w:szCs w:val="24"/>
        </w:rPr>
        <w:t xml:space="preserve">ossono </w:t>
      </w:r>
      <w:r w:rsidR="00C6396E">
        <w:rPr>
          <w:rFonts w:ascii="Times New Roman" w:hAnsi="Times New Roman"/>
          <w:sz w:val="24"/>
          <w:szCs w:val="24"/>
        </w:rPr>
        <w:t>essere imputate</w:t>
      </w:r>
      <w:r w:rsidR="003319EB" w:rsidRPr="003319EB">
        <w:rPr>
          <w:rFonts w:ascii="Times New Roman" w:hAnsi="Times New Roman"/>
          <w:sz w:val="24"/>
          <w:szCs w:val="24"/>
        </w:rPr>
        <w:t xml:space="preserve"> le sole quote </w:t>
      </w:r>
      <w:r w:rsidR="00BF347C">
        <w:rPr>
          <w:rFonts w:ascii="Times New Roman" w:hAnsi="Times New Roman"/>
          <w:sz w:val="24"/>
          <w:szCs w:val="24"/>
        </w:rPr>
        <w:t>d’</w:t>
      </w:r>
      <w:r w:rsidR="003319EB">
        <w:rPr>
          <w:rFonts w:ascii="Times New Roman" w:hAnsi="Times New Roman"/>
          <w:sz w:val="24"/>
          <w:szCs w:val="24"/>
        </w:rPr>
        <w:t>uso</w:t>
      </w:r>
      <w:r w:rsidR="00E07F59">
        <w:rPr>
          <w:rFonts w:ascii="Times New Roman" w:hAnsi="Times New Roman"/>
          <w:sz w:val="24"/>
          <w:szCs w:val="24"/>
        </w:rPr>
        <w:t xml:space="preserve"> </w:t>
      </w:r>
      <w:r w:rsidR="003319EB" w:rsidRPr="003319EB">
        <w:rPr>
          <w:rFonts w:ascii="Times New Roman" w:hAnsi="Times New Roman"/>
          <w:sz w:val="24"/>
          <w:szCs w:val="24"/>
        </w:rPr>
        <w:t xml:space="preserve">di </w:t>
      </w:r>
      <w:r w:rsidR="00F06F26">
        <w:rPr>
          <w:rFonts w:ascii="Times New Roman" w:hAnsi="Times New Roman"/>
          <w:sz w:val="24"/>
          <w:szCs w:val="24"/>
        </w:rPr>
        <w:t>strumentazioni</w:t>
      </w:r>
      <w:r w:rsidR="003319EB" w:rsidRPr="003319EB">
        <w:rPr>
          <w:rFonts w:ascii="Times New Roman" w:hAnsi="Times New Roman"/>
          <w:sz w:val="24"/>
          <w:szCs w:val="24"/>
        </w:rPr>
        <w:t xml:space="preserve"> tecnico-scientifiche, </w:t>
      </w:r>
      <w:r w:rsidR="003319EB" w:rsidRPr="00E5673A">
        <w:rPr>
          <w:rFonts w:ascii="Times New Roman" w:hAnsi="Times New Roman"/>
          <w:sz w:val="24"/>
          <w:szCs w:val="24"/>
        </w:rPr>
        <w:t>macchine e attrezzature agricole funzionali all’attività di ricerca prevista</w:t>
      </w:r>
      <w:r w:rsidR="00D12AA6" w:rsidRPr="00E5673A">
        <w:rPr>
          <w:rFonts w:ascii="Times New Roman" w:hAnsi="Times New Roman"/>
          <w:sz w:val="24"/>
          <w:szCs w:val="24"/>
        </w:rPr>
        <w:t xml:space="preserve">, calcolate nella misura e per il </w:t>
      </w:r>
      <w:r w:rsidR="00D12AA6" w:rsidRPr="00E5673A">
        <w:rPr>
          <w:rFonts w:ascii="Times New Roman" w:hAnsi="Times New Roman"/>
          <w:sz w:val="24"/>
          <w:szCs w:val="24"/>
        </w:rPr>
        <w:lastRenderedPageBreak/>
        <w:t xml:space="preserve">periodo in cui le </w:t>
      </w:r>
      <w:r w:rsidR="00BF347C" w:rsidRPr="00E5673A">
        <w:rPr>
          <w:rFonts w:ascii="Times New Roman" w:hAnsi="Times New Roman"/>
          <w:sz w:val="24"/>
          <w:szCs w:val="24"/>
        </w:rPr>
        <w:t xml:space="preserve">attrezzature </w:t>
      </w:r>
      <w:r w:rsidR="00D12AA6" w:rsidRPr="00E5673A">
        <w:rPr>
          <w:rFonts w:ascii="Times New Roman" w:hAnsi="Times New Roman"/>
          <w:sz w:val="24"/>
          <w:szCs w:val="24"/>
        </w:rPr>
        <w:t>stesse sono utilizzate</w:t>
      </w:r>
      <w:r w:rsidR="00432D0C">
        <w:rPr>
          <w:rFonts w:ascii="Times New Roman" w:hAnsi="Times New Roman"/>
          <w:sz w:val="24"/>
          <w:szCs w:val="24"/>
        </w:rPr>
        <w:t xml:space="preserve"> nell’ambito del progetto</w:t>
      </w:r>
      <w:r w:rsidR="001E3AD3" w:rsidRPr="00E5673A">
        <w:rPr>
          <w:rFonts w:ascii="Times New Roman" w:hAnsi="Times New Roman"/>
          <w:sz w:val="24"/>
          <w:szCs w:val="24"/>
        </w:rPr>
        <w:t xml:space="preserve"> purché le stesse non usufruiscano di </w:t>
      </w:r>
      <w:r w:rsidR="004D7A30" w:rsidRPr="00E5673A">
        <w:rPr>
          <w:rFonts w:ascii="Times New Roman" w:hAnsi="Times New Roman"/>
          <w:sz w:val="24"/>
          <w:szCs w:val="24"/>
        </w:rPr>
        <w:t xml:space="preserve">altri </w:t>
      </w:r>
      <w:r w:rsidR="001E3AD3" w:rsidRPr="00E5673A">
        <w:rPr>
          <w:rFonts w:ascii="Times New Roman" w:hAnsi="Times New Roman"/>
          <w:sz w:val="24"/>
          <w:szCs w:val="24"/>
        </w:rPr>
        <w:t>contributi pubblici per l’acquisto</w:t>
      </w:r>
      <w:r w:rsidR="004D7A30" w:rsidRPr="00E5673A">
        <w:rPr>
          <w:rFonts w:ascii="Times New Roman" w:hAnsi="Times New Roman"/>
          <w:sz w:val="24"/>
          <w:szCs w:val="24"/>
        </w:rPr>
        <w:t>.</w:t>
      </w:r>
    </w:p>
    <w:p w:rsidR="007D2788" w:rsidRPr="00E5673A" w:rsidRDefault="007D2788" w:rsidP="00C6396E">
      <w:pPr>
        <w:pStyle w:val="Paragrafoelenco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sz w:val="24"/>
          <w:szCs w:val="24"/>
        </w:rPr>
        <w:t xml:space="preserve">Sono ammissibili anche quote </w:t>
      </w:r>
      <w:r w:rsidR="00BF347C" w:rsidRPr="00E5673A">
        <w:rPr>
          <w:rFonts w:ascii="Times New Roman" w:hAnsi="Times New Roman"/>
          <w:sz w:val="24"/>
          <w:szCs w:val="24"/>
        </w:rPr>
        <w:t>d’</w:t>
      </w:r>
      <w:r w:rsidR="00513313" w:rsidRPr="00E5673A">
        <w:rPr>
          <w:rFonts w:ascii="Times New Roman" w:hAnsi="Times New Roman"/>
          <w:sz w:val="24"/>
          <w:szCs w:val="24"/>
        </w:rPr>
        <w:t xml:space="preserve">uso </w:t>
      </w:r>
      <w:r w:rsidRPr="00E5673A">
        <w:rPr>
          <w:rFonts w:ascii="Times New Roman" w:hAnsi="Times New Roman"/>
          <w:sz w:val="24"/>
          <w:szCs w:val="24"/>
        </w:rPr>
        <w:t>di attrezzature</w:t>
      </w:r>
      <w:r w:rsidR="001F27B7" w:rsidRPr="00E5673A">
        <w:rPr>
          <w:rFonts w:ascii="Times New Roman" w:hAnsi="Times New Roman"/>
          <w:sz w:val="24"/>
          <w:szCs w:val="24"/>
        </w:rPr>
        <w:t xml:space="preserve"> e strumentazioni</w:t>
      </w:r>
      <w:r w:rsidRPr="00E5673A">
        <w:rPr>
          <w:rFonts w:ascii="Times New Roman" w:hAnsi="Times New Roman"/>
          <w:sz w:val="24"/>
          <w:szCs w:val="24"/>
        </w:rPr>
        <w:t xml:space="preserve"> acquistate precedentemente all’inizio del progetto e utili allo svolgimento dello stesso</w:t>
      </w:r>
      <w:r w:rsidR="00F06F26" w:rsidRPr="00E5673A">
        <w:rPr>
          <w:rFonts w:ascii="Times New Roman" w:hAnsi="Times New Roman"/>
          <w:sz w:val="24"/>
          <w:szCs w:val="24"/>
        </w:rPr>
        <w:t>,</w:t>
      </w:r>
      <w:r w:rsidR="001F27B7" w:rsidRPr="00E5673A">
        <w:rPr>
          <w:rFonts w:ascii="Times New Roman" w:hAnsi="Times New Roman"/>
          <w:sz w:val="24"/>
          <w:szCs w:val="24"/>
        </w:rPr>
        <w:t xml:space="preserve"> purché le stesse </w:t>
      </w:r>
      <w:r w:rsidR="00DC2AC9" w:rsidRPr="00E5673A">
        <w:rPr>
          <w:rFonts w:ascii="Times New Roman" w:hAnsi="Times New Roman"/>
          <w:sz w:val="24"/>
          <w:szCs w:val="24"/>
        </w:rPr>
        <w:t xml:space="preserve">non </w:t>
      </w:r>
      <w:r w:rsidR="00510B5E" w:rsidRPr="00E5673A">
        <w:rPr>
          <w:rFonts w:ascii="Times New Roman" w:hAnsi="Times New Roman"/>
          <w:sz w:val="24"/>
          <w:szCs w:val="24"/>
        </w:rPr>
        <w:t>abbiano usufruito di contributi pubblici</w:t>
      </w:r>
      <w:r w:rsidR="00734B08" w:rsidRPr="00E5673A">
        <w:rPr>
          <w:rFonts w:ascii="Times New Roman" w:hAnsi="Times New Roman"/>
          <w:sz w:val="24"/>
          <w:szCs w:val="24"/>
        </w:rPr>
        <w:t xml:space="preserve"> per l’acquisto</w:t>
      </w:r>
      <w:r w:rsidRPr="00E5673A">
        <w:rPr>
          <w:rFonts w:ascii="Times New Roman" w:hAnsi="Times New Roman"/>
          <w:sz w:val="24"/>
          <w:szCs w:val="24"/>
        </w:rPr>
        <w:t>.</w:t>
      </w:r>
    </w:p>
    <w:p w:rsidR="00DC2AC9" w:rsidRPr="00E5673A" w:rsidRDefault="00E06EC5" w:rsidP="001F27B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sz w:val="24"/>
          <w:szCs w:val="24"/>
        </w:rPr>
        <w:t>L</w:t>
      </w:r>
      <w:r w:rsidR="00E5673A" w:rsidRPr="00E5673A">
        <w:rPr>
          <w:rFonts w:ascii="Times New Roman" w:hAnsi="Times New Roman"/>
          <w:sz w:val="24"/>
          <w:szCs w:val="24"/>
        </w:rPr>
        <w:t>a quota d’uso (QU)</w:t>
      </w:r>
      <w:r w:rsidR="004D7A30" w:rsidRPr="00E5673A">
        <w:rPr>
          <w:rFonts w:ascii="Times New Roman" w:hAnsi="Times New Roman"/>
          <w:sz w:val="24"/>
          <w:szCs w:val="24"/>
        </w:rPr>
        <w:t xml:space="preserve"> </w:t>
      </w:r>
      <w:r w:rsidR="00DC2AC9" w:rsidRPr="00E5673A">
        <w:rPr>
          <w:rFonts w:ascii="Times New Roman" w:hAnsi="Times New Roman"/>
          <w:sz w:val="24"/>
          <w:szCs w:val="24"/>
        </w:rPr>
        <w:t>ammissibile</w:t>
      </w:r>
      <w:r w:rsidR="004D7A30" w:rsidRPr="00E5673A">
        <w:rPr>
          <w:rFonts w:ascii="Times New Roman" w:hAnsi="Times New Roman"/>
          <w:sz w:val="24"/>
          <w:szCs w:val="24"/>
        </w:rPr>
        <w:t xml:space="preserve"> deve essere determinat</w:t>
      </w:r>
      <w:r w:rsidR="00E5673A" w:rsidRPr="00E5673A">
        <w:rPr>
          <w:rFonts w:ascii="Times New Roman" w:hAnsi="Times New Roman"/>
          <w:sz w:val="24"/>
          <w:szCs w:val="24"/>
        </w:rPr>
        <w:t>a</w:t>
      </w:r>
      <w:r w:rsidR="004D7A30" w:rsidRPr="00E5673A">
        <w:rPr>
          <w:rFonts w:ascii="Times New Roman" w:hAnsi="Times New Roman"/>
          <w:sz w:val="24"/>
          <w:szCs w:val="24"/>
        </w:rPr>
        <w:t xml:space="preserve"> con la </w:t>
      </w:r>
      <w:r w:rsidR="00DC2AC9" w:rsidRPr="00E5673A">
        <w:rPr>
          <w:rFonts w:ascii="Times New Roman" w:hAnsi="Times New Roman"/>
          <w:sz w:val="24"/>
          <w:szCs w:val="24"/>
        </w:rPr>
        <w:t>seguente formula:</w:t>
      </w:r>
    </w:p>
    <w:p w:rsidR="009029C2" w:rsidRPr="00E5673A" w:rsidRDefault="009029C2" w:rsidP="001F27B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10B5E" w:rsidRPr="00E5673A" w:rsidRDefault="009029C2" w:rsidP="009029C2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73A">
        <w:rPr>
          <w:rFonts w:ascii="Times New Roman" w:hAnsi="Times New Roman"/>
          <w:b/>
          <w:bCs/>
          <w:sz w:val="24"/>
          <w:szCs w:val="24"/>
        </w:rPr>
        <w:t xml:space="preserve">QU = </w:t>
      </w:r>
      <w:r w:rsidR="00DC2AC9" w:rsidRPr="00E5673A">
        <w:rPr>
          <w:rFonts w:ascii="Times New Roman" w:hAnsi="Times New Roman"/>
          <w:b/>
          <w:bCs/>
          <w:sz w:val="24"/>
          <w:szCs w:val="24"/>
        </w:rPr>
        <w:t>[(A *</w:t>
      </w:r>
      <w:r w:rsidR="00EA794C" w:rsidRPr="00E5673A">
        <w:rPr>
          <w:rFonts w:ascii="Times New Roman" w:hAnsi="Times New Roman"/>
          <w:b/>
          <w:bCs/>
          <w:sz w:val="24"/>
          <w:szCs w:val="24"/>
        </w:rPr>
        <w:t xml:space="preserve"> B</w:t>
      </w:r>
      <w:r w:rsidR="00DC2AC9" w:rsidRPr="00E5673A">
        <w:rPr>
          <w:rFonts w:ascii="Times New Roman" w:hAnsi="Times New Roman"/>
          <w:b/>
          <w:bCs/>
          <w:sz w:val="24"/>
          <w:szCs w:val="24"/>
        </w:rPr>
        <w:t xml:space="preserve"> * </w:t>
      </w:r>
      <w:r w:rsidR="00EA794C" w:rsidRPr="00E5673A">
        <w:rPr>
          <w:rFonts w:ascii="Times New Roman" w:hAnsi="Times New Roman"/>
          <w:b/>
          <w:bCs/>
          <w:sz w:val="24"/>
          <w:szCs w:val="24"/>
        </w:rPr>
        <w:t>C)</w:t>
      </w:r>
      <w:r w:rsidR="00DC2AC9" w:rsidRPr="00E5673A">
        <w:rPr>
          <w:rFonts w:ascii="Times New Roman" w:hAnsi="Times New Roman"/>
          <w:b/>
          <w:bCs/>
          <w:sz w:val="24"/>
          <w:szCs w:val="24"/>
        </w:rPr>
        <w:t>/</w:t>
      </w:r>
      <w:r w:rsidR="00CA0A52" w:rsidRPr="00E5673A">
        <w:rPr>
          <w:rFonts w:ascii="Times New Roman" w:hAnsi="Times New Roman"/>
          <w:b/>
          <w:bCs/>
          <w:sz w:val="24"/>
          <w:szCs w:val="24"/>
        </w:rPr>
        <w:t>D</w:t>
      </w:r>
      <w:r w:rsidR="00DC2AC9" w:rsidRPr="00E5673A">
        <w:rPr>
          <w:rFonts w:ascii="Times New Roman" w:hAnsi="Times New Roman"/>
          <w:b/>
          <w:bCs/>
          <w:sz w:val="24"/>
          <w:szCs w:val="24"/>
        </w:rPr>
        <w:t xml:space="preserve">] * </w:t>
      </w:r>
      <w:r w:rsidR="00CA0A52" w:rsidRPr="00E5673A">
        <w:rPr>
          <w:rFonts w:ascii="Times New Roman" w:hAnsi="Times New Roman"/>
          <w:b/>
          <w:bCs/>
          <w:sz w:val="24"/>
          <w:szCs w:val="24"/>
        </w:rPr>
        <w:t>E</w:t>
      </w:r>
    </w:p>
    <w:p w:rsidR="00DC2AC9" w:rsidRPr="00E5673A" w:rsidRDefault="00DC2AC9" w:rsidP="00510B5E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E5673A">
        <w:rPr>
          <w:rFonts w:ascii="Times New Roman" w:hAnsi="Times New Roman"/>
          <w:sz w:val="24"/>
          <w:szCs w:val="24"/>
        </w:rPr>
        <w:t>=</w:t>
      </w:r>
      <w:r w:rsidR="00510B5E" w:rsidRPr="00E5673A">
        <w:rPr>
          <w:rFonts w:ascii="Times New Roman" w:hAnsi="Times New Roman"/>
          <w:sz w:val="24"/>
          <w:szCs w:val="24"/>
        </w:rPr>
        <w:t xml:space="preserve"> </w:t>
      </w:r>
      <w:r w:rsidRPr="00E5673A">
        <w:rPr>
          <w:rFonts w:ascii="Times New Roman" w:hAnsi="Times New Roman"/>
          <w:sz w:val="24"/>
          <w:szCs w:val="24"/>
        </w:rPr>
        <w:t>costo di acquisto dell’attrezzatura o strumentazione;</w:t>
      </w:r>
    </w:p>
    <w:p w:rsidR="00DC2AC9" w:rsidRPr="00E5673A" w:rsidRDefault="00DC2AC9" w:rsidP="003319EB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b/>
          <w:bCs/>
          <w:sz w:val="24"/>
          <w:szCs w:val="24"/>
        </w:rPr>
        <w:t xml:space="preserve">B </w:t>
      </w:r>
      <w:r w:rsidRPr="00E5673A">
        <w:rPr>
          <w:rFonts w:ascii="Times New Roman" w:hAnsi="Times New Roman"/>
          <w:sz w:val="24"/>
          <w:szCs w:val="24"/>
        </w:rPr>
        <w:t xml:space="preserve">= </w:t>
      </w:r>
      <w:r w:rsidRPr="00E5673A">
        <w:rPr>
          <w:rFonts w:ascii="Times New Roman" w:hAnsi="Times New Roman"/>
          <w:sz w:val="24"/>
          <w:szCs w:val="24"/>
        </w:rPr>
        <w:tab/>
        <w:t>coefficie</w:t>
      </w:r>
      <w:r w:rsidR="00D51909" w:rsidRPr="00E5673A">
        <w:rPr>
          <w:rFonts w:ascii="Times New Roman" w:hAnsi="Times New Roman"/>
          <w:sz w:val="24"/>
          <w:szCs w:val="24"/>
        </w:rPr>
        <w:t xml:space="preserve">nte di ammortamento indicato nelle tabelle ministeriali di cui al </w:t>
      </w:r>
      <w:r w:rsidR="009029C2" w:rsidRPr="00E5673A">
        <w:rPr>
          <w:rFonts w:ascii="Times New Roman" w:hAnsi="Times New Roman"/>
          <w:sz w:val="24"/>
          <w:szCs w:val="24"/>
        </w:rPr>
        <w:t xml:space="preserve">decreto ministeriale </w:t>
      </w:r>
      <w:r w:rsidR="00D51909" w:rsidRPr="00E5673A">
        <w:rPr>
          <w:rFonts w:ascii="Times New Roman" w:hAnsi="Times New Roman"/>
          <w:sz w:val="24"/>
          <w:szCs w:val="24"/>
        </w:rPr>
        <w:t>31/12/1988</w:t>
      </w:r>
      <w:r w:rsidR="009029C2" w:rsidRPr="00E5673A">
        <w:rPr>
          <w:rFonts w:ascii="Times New Roman" w:hAnsi="Times New Roman"/>
          <w:sz w:val="24"/>
          <w:szCs w:val="24"/>
        </w:rPr>
        <w:t xml:space="preserve"> e successive modificazioni</w:t>
      </w:r>
      <w:r w:rsidRPr="00E5673A">
        <w:rPr>
          <w:rFonts w:ascii="Times New Roman" w:hAnsi="Times New Roman"/>
          <w:sz w:val="24"/>
          <w:szCs w:val="24"/>
        </w:rPr>
        <w:t>;</w:t>
      </w:r>
    </w:p>
    <w:p w:rsidR="00DC2AC9" w:rsidRPr="00E5673A" w:rsidRDefault="00DC2AC9" w:rsidP="00CA0A52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="00CA0A52" w:rsidRPr="00E5673A">
        <w:rPr>
          <w:rFonts w:ascii="Times New Roman" w:hAnsi="Times New Roman"/>
          <w:sz w:val="24"/>
          <w:szCs w:val="24"/>
        </w:rPr>
        <w:t>=</w:t>
      </w:r>
      <w:r w:rsidR="004B3EC6" w:rsidRPr="00E5673A">
        <w:rPr>
          <w:rFonts w:ascii="Times New Roman" w:hAnsi="Times New Roman"/>
          <w:sz w:val="24"/>
          <w:szCs w:val="24"/>
        </w:rPr>
        <w:t xml:space="preserve"> </w:t>
      </w:r>
      <w:r w:rsidR="009029C2" w:rsidRPr="00E5673A">
        <w:rPr>
          <w:rFonts w:ascii="Times New Roman" w:hAnsi="Times New Roman"/>
          <w:sz w:val="24"/>
          <w:szCs w:val="24"/>
        </w:rPr>
        <w:t xml:space="preserve">n° </w:t>
      </w:r>
      <w:r w:rsidR="00DD0EFC" w:rsidRPr="00E5673A">
        <w:rPr>
          <w:rFonts w:ascii="Times New Roman" w:hAnsi="Times New Roman"/>
          <w:sz w:val="24"/>
          <w:szCs w:val="24"/>
        </w:rPr>
        <w:t>giorn</w:t>
      </w:r>
      <w:r w:rsidR="009029C2" w:rsidRPr="00E5673A">
        <w:rPr>
          <w:rFonts w:ascii="Times New Roman" w:hAnsi="Times New Roman"/>
          <w:sz w:val="24"/>
          <w:szCs w:val="24"/>
        </w:rPr>
        <w:t>i</w:t>
      </w:r>
      <w:r w:rsidR="00DD0EFC" w:rsidRPr="00E5673A">
        <w:rPr>
          <w:rFonts w:ascii="Times New Roman" w:hAnsi="Times New Roman"/>
          <w:sz w:val="24"/>
          <w:szCs w:val="24"/>
        </w:rPr>
        <w:t xml:space="preserve"> di </w:t>
      </w:r>
      <w:r w:rsidRPr="00E5673A">
        <w:rPr>
          <w:rFonts w:ascii="Times New Roman" w:hAnsi="Times New Roman"/>
          <w:sz w:val="24"/>
          <w:szCs w:val="24"/>
        </w:rPr>
        <w:t>utilizzo dell’attrezzatura o della strumentazione</w:t>
      </w:r>
      <w:r w:rsidR="00DD0EFC" w:rsidRPr="00E5673A">
        <w:rPr>
          <w:rFonts w:ascii="Times New Roman" w:hAnsi="Times New Roman"/>
          <w:sz w:val="24"/>
          <w:szCs w:val="24"/>
        </w:rPr>
        <w:t xml:space="preserve"> </w:t>
      </w:r>
      <w:r w:rsidR="009029C2" w:rsidRPr="00E5673A">
        <w:rPr>
          <w:rFonts w:ascii="Times New Roman" w:hAnsi="Times New Roman"/>
          <w:sz w:val="24"/>
          <w:szCs w:val="24"/>
        </w:rPr>
        <w:t xml:space="preserve">nell’arco di vita del </w:t>
      </w:r>
      <w:r w:rsidRPr="00E5673A">
        <w:rPr>
          <w:rFonts w:ascii="Times New Roman" w:hAnsi="Times New Roman"/>
          <w:sz w:val="24"/>
          <w:szCs w:val="24"/>
        </w:rPr>
        <w:t>progetto;</w:t>
      </w:r>
    </w:p>
    <w:p w:rsidR="00CA0A52" w:rsidRPr="00E5673A" w:rsidRDefault="00DC2AC9" w:rsidP="00CA0A52">
      <w:p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="00CA0A52" w:rsidRPr="00E5673A">
        <w:rPr>
          <w:rFonts w:ascii="Times New Roman" w:hAnsi="Times New Roman"/>
          <w:sz w:val="24"/>
          <w:szCs w:val="24"/>
        </w:rPr>
        <w:t>=</w:t>
      </w:r>
      <w:r w:rsidR="004B3EC6" w:rsidRPr="00E5673A">
        <w:rPr>
          <w:rFonts w:ascii="Times New Roman" w:hAnsi="Times New Roman"/>
          <w:sz w:val="24"/>
          <w:szCs w:val="24"/>
        </w:rPr>
        <w:t xml:space="preserve"> </w:t>
      </w:r>
      <w:r w:rsidR="009029C2" w:rsidRPr="00E5673A">
        <w:rPr>
          <w:rFonts w:ascii="Times New Roman" w:hAnsi="Times New Roman"/>
          <w:sz w:val="24"/>
          <w:szCs w:val="24"/>
        </w:rPr>
        <w:t xml:space="preserve">n° </w:t>
      </w:r>
      <w:r w:rsidR="00CA0A52" w:rsidRPr="00E5673A">
        <w:rPr>
          <w:rFonts w:ascii="Times New Roman" w:hAnsi="Times New Roman"/>
          <w:sz w:val="24"/>
          <w:szCs w:val="24"/>
        </w:rPr>
        <w:t xml:space="preserve">giorni </w:t>
      </w:r>
      <w:r w:rsidR="009029C2" w:rsidRPr="00E5673A">
        <w:rPr>
          <w:rFonts w:ascii="Times New Roman" w:hAnsi="Times New Roman"/>
          <w:sz w:val="24"/>
          <w:szCs w:val="24"/>
        </w:rPr>
        <w:t xml:space="preserve">corrispondente alla durata del </w:t>
      </w:r>
      <w:r w:rsidR="00CA0A52" w:rsidRPr="00E5673A">
        <w:rPr>
          <w:rFonts w:ascii="Times New Roman" w:hAnsi="Times New Roman"/>
          <w:sz w:val="24"/>
          <w:szCs w:val="24"/>
        </w:rPr>
        <w:t>progetto;</w:t>
      </w:r>
    </w:p>
    <w:p w:rsidR="00EA794C" w:rsidRPr="00E5673A" w:rsidRDefault="004B3EC6" w:rsidP="00CA0A52">
      <w:pPr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b/>
          <w:sz w:val="24"/>
          <w:szCs w:val="24"/>
        </w:rPr>
        <w:t xml:space="preserve">E </w:t>
      </w:r>
      <w:r w:rsidRPr="00E5673A">
        <w:rPr>
          <w:rFonts w:ascii="Times New Roman" w:hAnsi="Times New Roman"/>
          <w:sz w:val="24"/>
          <w:szCs w:val="24"/>
        </w:rPr>
        <w:t xml:space="preserve">= </w:t>
      </w:r>
      <w:r w:rsidR="00EA794C" w:rsidRPr="00E5673A">
        <w:rPr>
          <w:rFonts w:ascii="Times New Roman" w:hAnsi="Times New Roman"/>
          <w:sz w:val="24"/>
          <w:szCs w:val="24"/>
        </w:rPr>
        <w:t xml:space="preserve">percentuale (%) di utilizzo effettivo dell’attrezzatura o della strumentazione </w:t>
      </w:r>
      <w:r w:rsidR="009029C2" w:rsidRPr="00E5673A">
        <w:rPr>
          <w:rFonts w:ascii="Times New Roman" w:hAnsi="Times New Roman"/>
          <w:sz w:val="24"/>
          <w:szCs w:val="24"/>
        </w:rPr>
        <w:t xml:space="preserve">in base alla durata </w:t>
      </w:r>
      <w:r w:rsidR="00EA794C" w:rsidRPr="00E5673A">
        <w:rPr>
          <w:rFonts w:ascii="Times New Roman" w:hAnsi="Times New Roman"/>
          <w:sz w:val="24"/>
          <w:szCs w:val="24"/>
        </w:rPr>
        <w:t xml:space="preserve">del progetto. </w:t>
      </w:r>
    </w:p>
    <w:p w:rsidR="007D2788" w:rsidRPr="009A2C27" w:rsidRDefault="00143567" w:rsidP="009A2C2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2C27">
        <w:rPr>
          <w:rFonts w:ascii="Times New Roman" w:hAnsi="Times New Roman"/>
          <w:b/>
          <w:sz w:val="24"/>
          <w:szCs w:val="24"/>
          <w:u w:val="single"/>
        </w:rPr>
        <w:t>Spese</w:t>
      </w:r>
      <w:r w:rsidR="004C423E" w:rsidRPr="009A2C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2788" w:rsidRPr="009A2C27">
        <w:rPr>
          <w:rFonts w:ascii="Times New Roman" w:hAnsi="Times New Roman"/>
          <w:b/>
          <w:sz w:val="24"/>
          <w:szCs w:val="24"/>
          <w:u w:val="single"/>
        </w:rPr>
        <w:t>generali</w:t>
      </w:r>
    </w:p>
    <w:p w:rsidR="00732664" w:rsidRPr="00E5673A" w:rsidRDefault="007D2788" w:rsidP="00732664">
      <w:pPr>
        <w:pStyle w:val="Paragrafoelenco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1F67">
        <w:rPr>
          <w:rFonts w:ascii="Times New Roman" w:hAnsi="Times New Roman"/>
          <w:sz w:val="24"/>
          <w:szCs w:val="24"/>
        </w:rPr>
        <w:t xml:space="preserve">Includono </w:t>
      </w:r>
      <w:r w:rsidR="00F30CD7" w:rsidRPr="00E5673A">
        <w:rPr>
          <w:rFonts w:ascii="Times New Roman" w:hAnsi="Times New Roman"/>
          <w:sz w:val="24"/>
          <w:szCs w:val="24"/>
        </w:rPr>
        <w:t>i costi</w:t>
      </w:r>
      <w:r w:rsidR="004C423E" w:rsidRPr="00E5673A">
        <w:rPr>
          <w:rFonts w:ascii="Times New Roman" w:hAnsi="Times New Roman"/>
          <w:sz w:val="24"/>
          <w:szCs w:val="24"/>
        </w:rPr>
        <w:t xml:space="preserve"> correlati </w:t>
      </w:r>
      <w:r w:rsidR="009029C2" w:rsidRPr="00E5673A">
        <w:rPr>
          <w:rFonts w:ascii="Times New Roman" w:hAnsi="Times New Roman"/>
          <w:sz w:val="24"/>
          <w:szCs w:val="24"/>
        </w:rPr>
        <w:t>allo svolgimento del progetto e</w:t>
      </w:r>
      <w:r w:rsidR="00E5673A" w:rsidRPr="00E5673A">
        <w:rPr>
          <w:rFonts w:ascii="Times New Roman" w:hAnsi="Times New Roman"/>
          <w:sz w:val="24"/>
          <w:szCs w:val="24"/>
        </w:rPr>
        <w:t xml:space="preserve"> ad esso</w:t>
      </w:r>
      <w:r w:rsidR="009029C2" w:rsidRPr="00E5673A">
        <w:rPr>
          <w:rFonts w:ascii="Times New Roman" w:hAnsi="Times New Roman"/>
          <w:sz w:val="24"/>
          <w:szCs w:val="24"/>
        </w:rPr>
        <w:t xml:space="preserve"> attribuibili in misura</w:t>
      </w:r>
      <w:r w:rsidR="00E5673A" w:rsidRPr="00E5673A">
        <w:rPr>
          <w:rFonts w:ascii="Times New Roman" w:hAnsi="Times New Roman"/>
          <w:sz w:val="24"/>
          <w:szCs w:val="24"/>
        </w:rPr>
        <w:t xml:space="preserve"> percentuale</w:t>
      </w:r>
      <w:r w:rsidR="009029C2" w:rsidRPr="00E5673A">
        <w:rPr>
          <w:rFonts w:ascii="Times New Roman" w:hAnsi="Times New Roman"/>
          <w:sz w:val="24"/>
          <w:szCs w:val="24"/>
        </w:rPr>
        <w:t>.</w:t>
      </w:r>
    </w:p>
    <w:p w:rsidR="00732664" w:rsidRPr="00E5673A" w:rsidRDefault="00143567" w:rsidP="00732664">
      <w:pPr>
        <w:pStyle w:val="Paragrafoelenco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sz w:val="24"/>
          <w:szCs w:val="24"/>
        </w:rPr>
        <w:t xml:space="preserve">A puro titolo esemplificativo </w:t>
      </w:r>
      <w:r w:rsidR="00732664" w:rsidRPr="00E5673A">
        <w:rPr>
          <w:rFonts w:ascii="Times New Roman" w:hAnsi="Times New Roman"/>
          <w:sz w:val="24"/>
          <w:szCs w:val="24"/>
        </w:rPr>
        <w:t xml:space="preserve">possono essere imputati a questa </w:t>
      </w:r>
      <w:r w:rsidR="00C6396E">
        <w:rPr>
          <w:rFonts w:ascii="Times New Roman" w:hAnsi="Times New Roman"/>
          <w:sz w:val="24"/>
          <w:szCs w:val="24"/>
        </w:rPr>
        <w:t>voce di spesa i costi relativi</w:t>
      </w:r>
      <w:r w:rsidR="00732664" w:rsidRPr="00E5673A">
        <w:rPr>
          <w:rFonts w:ascii="Times New Roman" w:hAnsi="Times New Roman"/>
          <w:sz w:val="24"/>
          <w:szCs w:val="24"/>
        </w:rPr>
        <w:t>:</w:t>
      </w:r>
    </w:p>
    <w:p w:rsidR="00732664" w:rsidRPr="00E5673A" w:rsidRDefault="00C6396E" w:rsidP="007326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</w:t>
      </w:r>
      <w:r w:rsidR="00732664" w:rsidRPr="00E5673A">
        <w:rPr>
          <w:rFonts w:ascii="Times New Roman" w:hAnsi="Times New Roman"/>
          <w:sz w:val="24"/>
          <w:szCs w:val="24"/>
        </w:rPr>
        <w:t>funzionalità ambientale (es. vigilanza, pulizia, riscaldamento, energia, illuminazione, acqua, gas, ecc.);</w:t>
      </w:r>
    </w:p>
    <w:p w:rsidR="00732664" w:rsidRPr="00E5673A" w:rsidRDefault="00C6396E" w:rsidP="007326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</w:t>
      </w:r>
      <w:r w:rsidR="00732664" w:rsidRPr="00E5673A">
        <w:rPr>
          <w:rFonts w:ascii="Times New Roman" w:hAnsi="Times New Roman"/>
          <w:sz w:val="24"/>
          <w:szCs w:val="24"/>
        </w:rPr>
        <w:t xml:space="preserve">funzionalità operativa (es. posta, telefono, cancelleria, fotoriproduzioni, abbonamenti, materiali minuti, biblioteca, assicurazioni dei cespiti di ricerca, minuteria </w:t>
      </w:r>
      <w:r w:rsidR="004A1FD3" w:rsidRPr="00E5673A">
        <w:rPr>
          <w:rFonts w:ascii="Times New Roman" w:hAnsi="Times New Roman"/>
          <w:sz w:val="24"/>
          <w:szCs w:val="24"/>
        </w:rPr>
        <w:t xml:space="preserve">plastica, </w:t>
      </w:r>
      <w:r w:rsidR="00732664" w:rsidRPr="00E5673A">
        <w:rPr>
          <w:rFonts w:ascii="Times New Roman" w:hAnsi="Times New Roman"/>
          <w:sz w:val="24"/>
          <w:szCs w:val="24"/>
        </w:rPr>
        <w:t xml:space="preserve">metallica ed elettrica, </w:t>
      </w:r>
      <w:r w:rsidR="00143567" w:rsidRPr="00E5673A">
        <w:rPr>
          <w:rFonts w:ascii="Times New Roman" w:hAnsi="Times New Roman"/>
          <w:sz w:val="24"/>
          <w:szCs w:val="24"/>
        </w:rPr>
        <w:t xml:space="preserve">manutenzione ordinaria e assistenza per beni mobili e immobili, </w:t>
      </w:r>
      <w:r w:rsidR="00732664" w:rsidRPr="00E5673A">
        <w:rPr>
          <w:rFonts w:ascii="Times New Roman" w:hAnsi="Times New Roman"/>
          <w:sz w:val="24"/>
          <w:szCs w:val="24"/>
        </w:rPr>
        <w:t>ecc);</w:t>
      </w:r>
    </w:p>
    <w:p w:rsidR="00143567" w:rsidRPr="00E5673A" w:rsidRDefault="00C6396E" w:rsidP="0014356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</w:t>
      </w:r>
      <w:r w:rsidR="00143567" w:rsidRPr="00E5673A">
        <w:rPr>
          <w:rFonts w:ascii="Times New Roman" w:hAnsi="Times New Roman"/>
          <w:sz w:val="24"/>
          <w:szCs w:val="24"/>
        </w:rPr>
        <w:t xml:space="preserve">assistenza al personale (es. </w:t>
      </w:r>
      <w:r w:rsidR="00732664" w:rsidRPr="00E5673A">
        <w:rPr>
          <w:rFonts w:ascii="Times New Roman" w:hAnsi="Times New Roman"/>
          <w:sz w:val="24"/>
          <w:szCs w:val="24"/>
        </w:rPr>
        <w:t>infermeria, mensa, trasporti, previdenze interne, antinfortunistica, coperture assicurative ecc.);</w:t>
      </w:r>
    </w:p>
    <w:p w:rsidR="00732664" w:rsidRPr="00E5673A" w:rsidRDefault="00C6396E" w:rsidP="0014356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</w:t>
      </w:r>
      <w:r w:rsidR="00732664" w:rsidRPr="00E5673A">
        <w:rPr>
          <w:rFonts w:ascii="Times New Roman" w:hAnsi="Times New Roman"/>
          <w:sz w:val="24"/>
          <w:szCs w:val="24"/>
        </w:rPr>
        <w:t>funzionalità organizzativa (es. attività di presidenza, direzione generale e consiglio di amministrazione, contabilità generale e industriale, acquisti, ecc.);</w:t>
      </w:r>
    </w:p>
    <w:p w:rsidR="00732664" w:rsidRPr="00E5673A" w:rsidRDefault="00C6396E" w:rsidP="007326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</w:t>
      </w:r>
      <w:r w:rsidR="00732664" w:rsidRPr="00E5673A">
        <w:rPr>
          <w:rFonts w:ascii="Times New Roman" w:hAnsi="Times New Roman"/>
          <w:sz w:val="24"/>
          <w:szCs w:val="24"/>
        </w:rPr>
        <w:t>spese per corsi, congressi, mostre, fiere (costi per iscrizione, materiale didattico, ecc.);</w:t>
      </w:r>
    </w:p>
    <w:p w:rsidR="00732664" w:rsidRPr="00E5673A" w:rsidRDefault="00C6396E" w:rsidP="007326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</w:t>
      </w:r>
      <w:r w:rsidR="00732664" w:rsidRPr="00E5673A">
        <w:rPr>
          <w:rFonts w:ascii="Times New Roman" w:hAnsi="Times New Roman"/>
          <w:sz w:val="24"/>
          <w:szCs w:val="24"/>
        </w:rPr>
        <w:t>spese di cancelleria (</w:t>
      </w:r>
      <w:proofErr w:type="spellStart"/>
      <w:r w:rsidR="00732664" w:rsidRPr="00E5673A">
        <w:rPr>
          <w:rFonts w:ascii="Times New Roman" w:hAnsi="Times New Roman"/>
          <w:sz w:val="24"/>
          <w:szCs w:val="24"/>
        </w:rPr>
        <w:t>CD</w:t>
      </w:r>
      <w:proofErr w:type="spellEnd"/>
      <w:r w:rsidR="00732664" w:rsidRPr="00E5673A">
        <w:rPr>
          <w:rFonts w:ascii="Times New Roman" w:hAnsi="Times New Roman"/>
          <w:sz w:val="24"/>
          <w:szCs w:val="24"/>
        </w:rPr>
        <w:t xml:space="preserve"> e simili per computer, carta per stampanti, penne, </w:t>
      </w:r>
      <w:r w:rsidR="00143567" w:rsidRPr="00E5673A">
        <w:rPr>
          <w:rFonts w:ascii="Times New Roman" w:hAnsi="Times New Roman"/>
          <w:sz w:val="24"/>
          <w:szCs w:val="24"/>
        </w:rPr>
        <w:t xml:space="preserve">toner, </w:t>
      </w:r>
      <w:r w:rsidR="00732664" w:rsidRPr="00E5673A">
        <w:rPr>
          <w:rFonts w:ascii="Times New Roman" w:hAnsi="Times New Roman"/>
          <w:sz w:val="24"/>
          <w:szCs w:val="24"/>
        </w:rPr>
        <w:t>ecc.);</w:t>
      </w:r>
    </w:p>
    <w:p w:rsidR="00732664" w:rsidRPr="00E5673A" w:rsidRDefault="00C6396E" w:rsidP="007326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</w:t>
      </w:r>
      <w:r w:rsidR="00732664" w:rsidRPr="00E5673A">
        <w:rPr>
          <w:rFonts w:ascii="Times New Roman" w:hAnsi="Times New Roman"/>
          <w:sz w:val="24"/>
          <w:szCs w:val="24"/>
        </w:rPr>
        <w:t xml:space="preserve">costi sostenuti per informazione e pubblicità, ivi incluse le spese per la pubblicazione e pubblicizzazione di bandi; </w:t>
      </w:r>
    </w:p>
    <w:p w:rsidR="00732664" w:rsidRPr="00E5673A" w:rsidRDefault="00C6396E" w:rsidP="007326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</w:t>
      </w:r>
      <w:r w:rsidR="00732664" w:rsidRPr="00E5673A">
        <w:rPr>
          <w:rFonts w:ascii="Times New Roman" w:hAnsi="Times New Roman"/>
          <w:sz w:val="24"/>
          <w:szCs w:val="24"/>
        </w:rPr>
        <w:t>costi relativi alla tassa di circolazione, all’assicurazione auto, ai tagliandi di controllo, alla revisione di automezzi e alle riparazioni di vetture di servizio, ecc.;</w:t>
      </w:r>
    </w:p>
    <w:p w:rsidR="00732664" w:rsidRPr="00E5673A" w:rsidRDefault="00C6396E" w:rsidP="0073266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agli </w:t>
      </w:r>
      <w:r w:rsidR="00732664" w:rsidRPr="00E5673A">
        <w:rPr>
          <w:rFonts w:ascii="Times New Roman" w:hAnsi="Times New Roman"/>
          <w:sz w:val="24"/>
          <w:szCs w:val="24"/>
        </w:rPr>
        <w:t>eventuali oneri per fideiussioni, consulenze ed assistenze legali e/o amministrative, ecc..</w:t>
      </w:r>
    </w:p>
    <w:p w:rsidR="00E5673A" w:rsidRPr="00E5673A" w:rsidRDefault="00C6396E" w:rsidP="00E567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</w:t>
      </w:r>
      <w:r w:rsidR="00E5673A" w:rsidRPr="00E5673A">
        <w:rPr>
          <w:rFonts w:ascii="Times New Roman" w:hAnsi="Times New Roman"/>
          <w:sz w:val="24"/>
          <w:szCs w:val="24"/>
        </w:rPr>
        <w:t>personale indiretto (es. fat</w:t>
      </w:r>
      <w:r w:rsidR="008474AE">
        <w:rPr>
          <w:rFonts w:ascii="Times New Roman" w:hAnsi="Times New Roman"/>
          <w:sz w:val="24"/>
          <w:szCs w:val="24"/>
        </w:rPr>
        <w:t>torini, magazzinieri e simili).</w:t>
      </w:r>
    </w:p>
    <w:p w:rsidR="00621DE3" w:rsidRDefault="008E5F75" w:rsidP="008474AE">
      <w:pPr>
        <w:pStyle w:val="Paragrafoelenco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73A">
        <w:rPr>
          <w:rFonts w:ascii="Times New Roman" w:hAnsi="Times New Roman"/>
          <w:sz w:val="24"/>
          <w:szCs w:val="24"/>
        </w:rPr>
        <w:t>Tali spese generali s</w:t>
      </w:r>
      <w:r w:rsidR="007D2788" w:rsidRPr="00E5673A">
        <w:rPr>
          <w:rFonts w:ascii="Times New Roman" w:hAnsi="Times New Roman"/>
          <w:sz w:val="24"/>
          <w:szCs w:val="24"/>
        </w:rPr>
        <w:t>ono definit</w:t>
      </w:r>
      <w:r w:rsidRPr="00E5673A">
        <w:rPr>
          <w:rFonts w:ascii="Times New Roman" w:hAnsi="Times New Roman"/>
          <w:sz w:val="24"/>
          <w:szCs w:val="24"/>
        </w:rPr>
        <w:t>e</w:t>
      </w:r>
      <w:r w:rsidR="007D2788" w:rsidRPr="00E5673A">
        <w:rPr>
          <w:rFonts w:ascii="Times New Roman" w:hAnsi="Times New Roman"/>
          <w:sz w:val="24"/>
          <w:szCs w:val="24"/>
        </w:rPr>
        <w:t xml:space="preserve"> e calcolat</w:t>
      </w:r>
      <w:r w:rsidRPr="00E5673A">
        <w:rPr>
          <w:rFonts w:ascii="Times New Roman" w:hAnsi="Times New Roman"/>
          <w:sz w:val="24"/>
          <w:szCs w:val="24"/>
        </w:rPr>
        <w:t>e</w:t>
      </w:r>
      <w:r w:rsidR="006038A0" w:rsidRPr="00E5673A">
        <w:rPr>
          <w:rFonts w:ascii="Times New Roman" w:hAnsi="Times New Roman"/>
          <w:sz w:val="24"/>
          <w:szCs w:val="24"/>
        </w:rPr>
        <w:t xml:space="preserve"> </w:t>
      </w:r>
      <w:r w:rsidR="007D2788" w:rsidRPr="00E5673A">
        <w:rPr>
          <w:rFonts w:ascii="Times New Roman" w:hAnsi="Times New Roman"/>
          <w:sz w:val="24"/>
          <w:szCs w:val="24"/>
        </w:rPr>
        <w:t xml:space="preserve">nella misura </w:t>
      </w:r>
      <w:r w:rsidR="007D2788" w:rsidRPr="00E5673A">
        <w:rPr>
          <w:rFonts w:ascii="Times New Roman" w:hAnsi="Times New Roman"/>
          <w:b/>
          <w:sz w:val="24"/>
          <w:szCs w:val="24"/>
          <w:u w:val="single"/>
        </w:rPr>
        <w:t>massima</w:t>
      </w:r>
      <w:r w:rsidR="007D2788" w:rsidRPr="00E5673A">
        <w:rPr>
          <w:rFonts w:ascii="Times New Roman" w:hAnsi="Times New Roman"/>
          <w:sz w:val="24"/>
          <w:szCs w:val="24"/>
        </w:rPr>
        <w:t xml:space="preserve"> del </w:t>
      </w:r>
      <w:r w:rsidR="00F30CD7" w:rsidRPr="00E5673A">
        <w:rPr>
          <w:rFonts w:ascii="Times New Roman" w:hAnsi="Times New Roman"/>
          <w:sz w:val="24"/>
          <w:szCs w:val="24"/>
        </w:rPr>
        <w:t>10</w:t>
      </w:r>
      <w:r w:rsidR="007D2788" w:rsidRPr="00E5673A">
        <w:rPr>
          <w:rFonts w:ascii="Times New Roman" w:hAnsi="Times New Roman"/>
          <w:sz w:val="24"/>
          <w:szCs w:val="24"/>
        </w:rPr>
        <w:t xml:space="preserve">% della somma delle </w:t>
      </w:r>
      <w:r w:rsidR="00F30CD7" w:rsidRPr="00E5673A">
        <w:rPr>
          <w:rFonts w:ascii="Times New Roman" w:hAnsi="Times New Roman"/>
          <w:sz w:val="24"/>
          <w:szCs w:val="24"/>
        </w:rPr>
        <w:t>voci di costo</w:t>
      </w:r>
      <w:r w:rsidR="0002014A" w:rsidRPr="00E5673A">
        <w:rPr>
          <w:rFonts w:ascii="Times New Roman" w:hAnsi="Times New Roman"/>
          <w:sz w:val="24"/>
          <w:szCs w:val="24"/>
        </w:rPr>
        <w:t xml:space="preserve"> ammesse a contributo, con esclusione della voce “coordinamento”. C</w:t>
      </w:r>
      <w:r w:rsidR="00621DE3" w:rsidRPr="00E5673A">
        <w:rPr>
          <w:rFonts w:ascii="Times New Roman" w:hAnsi="Times New Roman"/>
          <w:sz w:val="24"/>
          <w:szCs w:val="24"/>
        </w:rPr>
        <w:t xml:space="preserve">iascun beneficiario, in sede di rendicontazione, è tenuto a calcolare l’importo da imputare al progetto secondo i criteri ed i regolamenti vigenti presso lo stesso e a darne </w:t>
      </w:r>
      <w:r w:rsidR="0002014A" w:rsidRPr="00E5673A">
        <w:rPr>
          <w:rFonts w:ascii="Times New Roman" w:hAnsi="Times New Roman"/>
          <w:sz w:val="24"/>
          <w:szCs w:val="24"/>
        </w:rPr>
        <w:t>motivazione</w:t>
      </w:r>
      <w:r w:rsidR="00621DE3" w:rsidRPr="00E5673A">
        <w:rPr>
          <w:rFonts w:ascii="Times New Roman" w:hAnsi="Times New Roman"/>
          <w:sz w:val="24"/>
          <w:szCs w:val="24"/>
        </w:rPr>
        <w:t xml:space="preserve"> all’amministrazione</w:t>
      </w:r>
      <w:r w:rsidR="0002014A">
        <w:rPr>
          <w:rFonts w:ascii="Times New Roman" w:hAnsi="Times New Roman"/>
          <w:color w:val="000000"/>
          <w:sz w:val="24"/>
          <w:szCs w:val="24"/>
        </w:rPr>
        <w:t xml:space="preserve"> finanziatrice.</w:t>
      </w:r>
    </w:p>
    <w:p w:rsidR="008474AE" w:rsidRDefault="008474AE" w:rsidP="008474AE">
      <w:pPr>
        <w:pStyle w:val="Paragrafoelenco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4AE" w:rsidRDefault="008474AE" w:rsidP="008474AE">
      <w:pPr>
        <w:pStyle w:val="Paragrafoelenco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788" w:rsidRPr="00971F67" w:rsidRDefault="007D2788" w:rsidP="002454F1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2C27">
        <w:rPr>
          <w:rFonts w:ascii="Times New Roman" w:hAnsi="Times New Roman"/>
          <w:b/>
          <w:sz w:val="24"/>
          <w:szCs w:val="24"/>
          <w:u w:val="single"/>
        </w:rPr>
        <w:lastRenderedPageBreak/>
        <w:t>Coordinamento</w:t>
      </w:r>
    </w:p>
    <w:p w:rsidR="00E04F33" w:rsidRDefault="00EC5366" w:rsidP="006038A0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sz w:val="24"/>
          <w:szCs w:val="24"/>
        </w:rPr>
        <w:t xml:space="preserve">Sono </w:t>
      </w:r>
      <w:r w:rsidR="00FF77ED" w:rsidRPr="00E5673A">
        <w:rPr>
          <w:rFonts w:ascii="Times New Roman" w:hAnsi="Times New Roman"/>
          <w:sz w:val="24"/>
          <w:szCs w:val="24"/>
        </w:rPr>
        <w:t xml:space="preserve">i costi </w:t>
      </w:r>
      <w:r w:rsidRPr="00E5673A">
        <w:rPr>
          <w:rFonts w:ascii="Times New Roman" w:hAnsi="Times New Roman"/>
          <w:sz w:val="24"/>
          <w:szCs w:val="24"/>
        </w:rPr>
        <w:t xml:space="preserve">per </w:t>
      </w:r>
      <w:r w:rsidR="00E04F33">
        <w:rPr>
          <w:rFonts w:ascii="Times New Roman" w:hAnsi="Times New Roman"/>
          <w:sz w:val="24"/>
          <w:szCs w:val="24"/>
        </w:rPr>
        <w:t xml:space="preserve">il </w:t>
      </w:r>
      <w:r w:rsidR="00E04F33" w:rsidRPr="00DB16A1">
        <w:rPr>
          <w:rFonts w:ascii="Times New Roman" w:hAnsi="Times New Roman"/>
          <w:sz w:val="24"/>
          <w:szCs w:val="24"/>
        </w:rPr>
        <w:t>coordinamento</w:t>
      </w:r>
      <w:r w:rsidRPr="00DB16A1">
        <w:rPr>
          <w:rFonts w:ascii="Times New Roman" w:hAnsi="Times New Roman"/>
          <w:sz w:val="24"/>
          <w:szCs w:val="24"/>
        </w:rPr>
        <w:t xml:space="preserve"> </w:t>
      </w:r>
      <w:r w:rsidR="00640541" w:rsidRPr="00DB16A1">
        <w:rPr>
          <w:rFonts w:ascii="Times New Roman" w:hAnsi="Times New Roman"/>
          <w:sz w:val="24"/>
          <w:szCs w:val="24"/>
        </w:rPr>
        <w:t>scientific</w:t>
      </w:r>
      <w:r w:rsidR="00E04F33" w:rsidRPr="00DB16A1">
        <w:rPr>
          <w:rFonts w:ascii="Times New Roman" w:hAnsi="Times New Roman"/>
          <w:sz w:val="24"/>
          <w:szCs w:val="24"/>
        </w:rPr>
        <w:t>o</w:t>
      </w:r>
      <w:r w:rsidR="00640541" w:rsidRPr="00DB16A1">
        <w:rPr>
          <w:rFonts w:ascii="Times New Roman" w:hAnsi="Times New Roman"/>
          <w:sz w:val="24"/>
          <w:szCs w:val="24"/>
        </w:rPr>
        <w:t xml:space="preserve"> nonché per la</w:t>
      </w:r>
      <w:r w:rsidR="00E04F33" w:rsidRPr="00DB16A1">
        <w:rPr>
          <w:rFonts w:ascii="Times New Roman" w:hAnsi="Times New Roman"/>
          <w:sz w:val="24"/>
          <w:szCs w:val="24"/>
        </w:rPr>
        <w:t xml:space="preserve"> gestione </w:t>
      </w:r>
      <w:r w:rsidR="00640541" w:rsidRPr="00DB16A1">
        <w:rPr>
          <w:rFonts w:ascii="Times New Roman" w:hAnsi="Times New Roman"/>
          <w:sz w:val="24"/>
          <w:szCs w:val="24"/>
        </w:rPr>
        <w:t xml:space="preserve"> amministrativa</w:t>
      </w:r>
      <w:r w:rsidR="00E04F33" w:rsidRPr="00DB16A1">
        <w:rPr>
          <w:rFonts w:ascii="Times New Roman" w:hAnsi="Times New Roman"/>
          <w:sz w:val="24"/>
          <w:szCs w:val="24"/>
        </w:rPr>
        <w:t xml:space="preserve"> e</w:t>
      </w:r>
      <w:r w:rsidR="00640541" w:rsidRPr="00DB16A1">
        <w:rPr>
          <w:rFonts w:ascii="Times New Roman" w:hAnsi="Times New Roman"/>
          <w:sz w:val="24"/>
          <w:szCs w:val="24"/>
        </w:rPr>
        <w:t xml:space="preserve"> contabile </w:t>
      </w:r>
      <w:r w:rsidR="00E04F33" w:rsidRPr="00DB16A1">
        <w:rPr>
          <w:rFonts w:ascii="Times New Roman" w:hAnsi="Times New Roman"/>
          <w:sz w:val="24"/>
          <w:szCs w:val="24"/>
        </w:rPr>
        <w:t xml:space="preserve">delle spese sostenute, in  termini di coerenza, pertinenza e congruenza, delle attività </w:t>
      </w:r>
      <w:r w:rsidR="00DB16A1">
        <w:rPr>
          <w:rFonts w:ascii="Times New Roman" w:hAnsi="Times New Roman"/>
          <w:sz w:val="24"/>
          <w:szCs w:val="24"/>
        </w:rPr>
        <w:t>inerenti il</w:t>
      </w:r>
      <w:r w:rsidR="00E04F33" w:rsidRPr="00DB16A1">
        <w:rPr>
          <w:rFonts w:ascii="Times New Roman" w:hAnsi="Times New Roman"/>
          <w:sz w:val="24"/>
          <w:szCs w:val="24"/>
        </w:rPr>
        <w:t xml:space="preserve"> progetto.</w:t>
      </w:r>
    </w:p>
    <w:p w:rsidR="00EC5366" w:rsidRDefault="005107A2" w:rsidP="006038A0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ammessi i </w:t>
      </w:r>
      <w:r w:rsidR="00EC5366" w:rsidRPr="00E5673A">
        <w:rPr>
          <w:rFonts w:ascii="Times New Roman" w:hAnsi="Times New Roman"/>
          <w:sz w:val="24"/>
          <w:szCs w:val="24"/>
        </w:rPr>
        <w:t>costi</w:t>
      </w:r>
      <w:r>
        <w:rPr>
          <w:rFonts w:ascii="Times New Roman" w:hAnsi="Times New Roman"/>
          <w:sz w:val="24"/>
          <w:szCs w:val="24"/>
        </w:rPr>
        <w:t xml:space="preserve"> per il </w:t>
      </w:r>
      <w:r w:rsidR="00EC5366" w:rsidRPr="00E5673A">
        <w:rPr>
          <w:rFonts w:ascii="Times New Roman" w:hAnsi="Times New Roman"/>
          <w:sz w:val="24"/>
          <w:szCs w:val="24"/>
        </w:rPr>
        <w:t>personale</w:t>
      </w:r>
      <w:r w:rsidR="00E06EC5" w:rsidRPr="00E5673A">
        <w:rPr>
          <w:rFonts w:ascii="Times New Roman" w:hAnsi="Times New Roman"/>
          <w:sz w:val="24"/>
          <w:szCs w:val="24"/>
        </w:rPr>
        <w:t xml:space="preserve"> amministrativo </w:t>
      </w:r>
      <w:r w:rsidR="00EC5366" w:rsidRPr="00E5673A">
        <w:rPr>
          <w:rFonts w:ascii="Times New Roman" w:hAnsi="Times New Roman"/>
          <w:sz w:val="24"/>
          <w:szCs w:val="24"/>
        </w:rPr>
        <w:t xml:space="preserve">a tempo determinato, </w:t>
      </w:r>
      <w:r>
        <w:rPr>
          <w:rFonts w:ascii="Times New Roman" w:hAnsi="Times New Roman"/>
          <w:sz w:val="24"/>
          <w:szCs w:val="24"/>
        </w:rPr>
        <w:t xml:space="preserve">per le </w:t>
      </w:r>
      <w:r w:rsidR="0002014A" w:rsidRPr="00E5673A">
        <w:rPr>
          <w:rFonts w:ascii="Times New Roman" w:hAnsi="Times New Roman"/>
          <w:sz w:val="24"/>
          <w:szCs w:val="24"/>
        </w:rPr>
        <w:t xml:space="preserve"> </w:t>
      </w:r>
      <w:r w:rsidR="00EC5366" w:rsidRPr="00E5673A">
        <w:rPr>
          <w:rFonts w:ascii="Times New Roman" w:hAnsi="Times New Roman"/>
          <w:sz w:val="24"/>
          <w:szCs w:val="24"/>
        </w:rPr>
        <w:t xml:space="preserve">missioni </w:t>
      </w:r>
      <w:r w:rsidR="0065508B" w:rsidRPr="00E5673A">
        <w:rPr>
          <w:rFonts w:ascii="Times New Roman" w:hAnsi="Times New Roman"/>
          <w:sz w:val="24"/>
          <w:szCs w:val="24"/>
        </w:rPr>
        <w:t xml:space="preserve">del coordinatore e/o </w:t>
      </w:r>
      <w:r w:rsidR="0002014A" w:rsidRPr="00E5673A">
        <w:rPr>
          <w:rFonts w:ascii="Times New Roman" w:hAnsi="Times New Roman"/>
          <w:sz w:val="24"/>
          <w:szCs w:val="24"/>
        </w:rPr>
        <w:t xml:space="preserve">di </w:t>
      </w:r>
      <w:r w:rsidR="0065508B" w:rsidRPr="00E5673A">
        <w:rPr>
          <w:rFonts w:ascii="Times New Roman" w:hAnsi="Times New Roman"/>
          <w:sz w:val="24"/>
          <w:szCs w:val="24"/>
        </w:rPr>
        <w:t>eventuali sostituti</w:t>
      </w:r>
      <w:r>
        <w:rPr>
          <w:rFonts w:ascii="Times New Roman" w:hAnsi="Times New Roman"/>
          <w:sz w:val="24"/>
          <w:szCs w:val="24"/>
        </w:rPr>
        <w:t xml:space="preserve"> purché partecipanti al progetto e</w:t>
      </w:r>
      <w:r w:rsidR="0065508B" w:rsidRPr="00E5673A">
        <w:rPr>
          <w:rFonts w:ascii="Times New Roman" w:hAnsi="Times New Roman"/>
          <w:sz w:val="24"/>
          <w:szCs w:val="24"/>
        </w:rPr>
        <w:t xml:space="preserve"> preventivamente autorizzati dal responsabile della U</w:t>
      </w:r>
      <w:r>
        <w:rPr>
          <w:rFonts w:ascii="Times New Roman" w:hAnsi="Times New Roman"/>
          <w:sz w:val="24"/>
          <w:szCs w:val="24"/>
        </w:rPr>
        <w:t>.</w:t>
      </w:r>
      <w:r w:rsidR="0065508B" w:rsidRPr="00E5673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 w:rsidR="0065508B" w:rsidRPr="00E5673A">
        <w:rPr>
          <w:rFonts w:ascii="Times New Roman" w:hAnsi="Times New Roman"/>
          <w:sz w:val="24"/>
          <w:szCs w:val="24"/>
        </w:rPr>
        <w:t xml:space="preserve"> di appartenenza</w:t>
      </w:r>
      <w:r>
        <w:rPr>
          <w:rFonts w:ascii="Times New Roman" w:hAnsi="Times New Roman"/>
          <w:sz w:val="24"/>
          <w:szCs w:val="24"/>
        </w:rPr>
        <w:t xml:space="preserve">, </w:t>
      </w:r>
      <w:r w:rsidR="0065508B" w:rsidRPr="00E5673A">
        <w:rPr>
          <w:rFonts w:ascii="Times New Roman" w:hAnsi="Times New Roman"/>
          <w:sz w:val="24"/>
          <w:szCs w:val="24"/>
        </w:rPr>
        <w:t>per l’</w:t>
      </w:r>
      <w:r w:rsidR="00EC5366" w:rsidRPr="00E5673A">
        <w:rPr>
          <w:rFonts w:ascii="Times New Roman" w:hAnsi="Times New Roman"/>
          <w:sz w:val="24"/>
          <w:szCs w:val="24"/>
        </w:rPr>
        <w:t xml:space="preserve">organizzazione di riunioni </w:t>
      </w:r>
      <w:r w:rsidR="00E5673A">
        <w:rPr>
          <w:rFonts w:ascii="Times New Roman" w:hAnsi="Times New Roman"/>
          <w:sz w:val="24"/>
          <w:szCs w:val="24"/>
        </w:rPr>
        <w:t>ed eventi</w:t>
      </w:r>
      <w:r w:rsidR="00E5673A" w:rsidRPr="00E5673A">
        <w:rPr>
          <w:rFonts w:ascii="Times New Roman" w:hAnsi="Times New Roman"/>
          <w:sz w:val="24"/>
          <w:szCs w:val="24"/>
        </w:rPr>
        <w:t>.</w:t>
      </w:r>
      <w:r w:rsidR="0002014A" w:rsidRPr="00E5673A">
        <w:rPr>
          <w:rFonts w:ascii="Times New Roman" w:hAnsi="Times New Roman"/>
          <w:sz w:val="24"/>
          <w:szCs w:val="24"/>
        </w:rPr>
        <w:t xml:space="preserve"> </w:t>
      </w:r>
    </w:p>
    <w:p w:rsidR="00CA12AE" w:rsidRPr="00E5673A" w:rsidRDefault="00FF77ED" w:rsidP="0065508B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673A">
        <w:rPr>
          <w:rFonts w:ascii="Times New Roman" w:hAnsi="Times New Roman"/>
          <w:sz w:val="24"/>
          <w:szCs w:val="24"/>
        </w:rPr>
        <w:t xml:space="preserve">Il costo </w:t>
      </w:r>
      <w:r w:rsidR="00EA4D76" w:rsidRPr="00E5673A">
        <w:rPr>
          <w:rFonts w:ascii="Times New Roman" w:hAnsi="Times New Roman"/>
          <w:sz w:val="24"/>
          <w:szCs w:val="24"/>
        </w:rPr>
        <w:t xml:space="preserve">è </w:t>
      </w:r>
      <w:r w:rsidR="007D2788" w:rsidRPr="00E5673A">
        <w:rPr>
          <w:rFonts w:ascii="Times New Roman" w:hAnsi="Times New Roman"/>
          <w:sz w:val="24"/>
          <w:szCs w:val="24"/>
        </w:rPr>
        <w:t>calcolat</w:t>
      </w:r>
      <w:r w:rsidRPr="00E5673A">
        <w:rPr>
          <w:rFonts w:ascii="Times New Roman" w:hAnsi="Times New Roman"/>
          <w:sz w:val="24"/>
          <w:szCs w:val="24"/>
        </w:rPr>
        <w:t>o</w:t>
      </w:r>
      <w:r w:rsidR="007D2788" w:rsidRPr="00E5673A">
        <w:rPr>
          <w:rFonts w:ascii="Times New Roman" w:hAnsi="Times New Roman"/>
          <w:sz w:val="24"/>
          <w:szCs w:val="24"/>
        </w:rPr>
        <w:t xml:space="preserve"> per interpolazione lineare</w:t>
      </w:r>
      <w:r w:rsidR="0002014A" w:rsidRPr="00E5673A">
        <w:rPr>
          <w:rFonts w:ascii="Times New Roman" w:hAnsi="Times New Roman"/>
          <w:sz w:val="24"/>
          <w:szCs w:val="24"/>
        </w:rPr>
        <w:t xml:space="preserve">, ed </w:t>
      </w:r>
      <w:r w:rsidR="00EA4D76" w:rsidRPr="00E5673A">
        <w:rPr>
          <w:rFonts w:ascii="Times New Roman" w:hAnsi="Times New Roman"/>
          <w:sz w:val="24"/>
          <w:szCs w:val="24"/>
        </w:rPr>
        <w:t>è</w:t>
      </w:r>
      <w:r w:rsidR="007D2788" w:rsidRPr="00E5673A">
        <w:rPr>
          <w:rFonts w:ascii="Times New Roman" w:hAnsi="Times New Roman"/>
          <w:sz w:val="24"/>
          <w:szCs w:val="24"/>
        </w:rPr>
        <w:t xml:space="preserve"> </w:t>
      </w:r>
      <w:r w:rsidR="00EA4D76" w:rsidRPr="00E5673A">
        <w:rPr>
          <w:rFonts w:ascii="Times New Roman" w:hAnsi="Times New Roman"/>
          <w:sz w:val="24"/>
          <w:szCs w:val="24"/>
        </w:rPr>
        <w:t>ottenuto applicando</w:t>
      </w:r>
      <w:r w:rsidR="00B64876" w:rsidRPr="00E5673A">
        <w:rPr>
          <w:rFonts w:ascii="Times New Roman" w:hAnsi="Times New Roman"/>
          <w:sz w:val="24"/>
          <w:szCs w:val="24"/>
        </w:rPr>
        <w:t>,</w:t>
      </w:r>
      <w:r w:rsidR="00EA4D76" w:rsidRPr="00E5673A">
        <w:rPr>
          <w:rFonts w:ascii="Times New Roman" w:hAnsi="Times New Roman"/>
          <w:sz w:val="24"/>
          <w:szCs w:val="24"/>
        </w:rPr>
        <w:t xml:space="preserve"> al</w:t>
      </w:r>
      <w:r w:rsidR="00EC1BF7" w:rsidRPr="00E5673A">
        <w:rPr>
          <w:rFonts w:ascii="Times New Roman" w:hAnsi="Times New Roman"/>
          <w:sz w:val="24"/>
          <w:szCs w:val="24"/>
        </w:rPr>
        <w:t xml:space="preserve">l’importo (L) quale </w:t>
      </w:r>
      <w:r w:rsidR="00EA4D76" w:rsidRPr="00E5673A">
        <w:rPr>
          <w:rFonts w:ascii="Times New Roman" w:hAnsi="Times New Roman"/>
          <w:sz w:val="24"/>
          <w:szCs w:val="24"/>
        </w:rPr>
        <w:t>somma</w:t>
      </w:r>
      <w:r w:rsidR="007D2788" w:rsidRPr="00E5673A">
        <w:rPr>
          <w:rFonts w:ascii="Times New Roman" w:hAnsi="Times New Roman"/>
          <w:sz w:val="24"/>
          <w:szCs w:val="24"/>
        </w:rPr>
        <w:t xml:space="preserve"> </w:t>
      </w:r>
      <w:r w:rsidR="00EA4D76" w:rsidRPr="00E5673A">
        <w:rPr>
          <w:rFonts w:ascii="Times New Roman" w:hAnsi="Times New Roman"/>
          <w:sz w:val="24"/>
          <w:szCs w:val="24"/>
        </w:rPr>
        <w:t xml:space="preserve">dei </w:t>
      </w:r>
      <w:r w:rsidRPr="00E5673A">
        <w:rPr>
          <w:rFonts w:ascii="Times New Roman" w:hAnsi="Times New Roman"/>
          <w:sz w:val="24"/>
          <w:szCs w:val="24"/>
        </w:rPr>
        <w:t>cost</w:t>
      </w:r>
      <w:r w:rsidR="00EA4D76" w:rsidRPr="00E5673A">
        <w:rPr>
          <w:rFonts w:ascii="Times New Roman" w:hAnsi="Times New Roman"/>
          <w:sz w:val="24"/>
          <w:szCs w:val="24"/>
        </w:rPr>
        <w:t>i</w:t>
      </w:r>
      <w:r w:rsidRPr="00E5673A">
        <w:rPr>
          <w:rFonts w:ascii="Times New Roman" w:hAnsi="Times New Roman"/>
          <w:sz w:val="24"/>
          <w:szCs w:val="24"/>
        </w:rPr>
        <w:t xml:space="preserve"> </w:t>
      </w:r>
      <w:r w:rsidR="00EA4D76" w:rsidRPr="00E5673A">
        <w:rPr>
          <w:rFonts w:ascii="Times New Roman" w:hAnsi="Times New Roman"/>
          <w:sz w:val="24"/>
          <w:szCs w:val="24"/>
        </w:rPr>
        <w:t xml:space="preserve">previsti </w:t>
      </w:r>
      <w:r w:rsidR="000266C1" w:rsidRPr="00E5673A">
        <w:rPr>
          <w:rFonts w:ascii="Times New Roman" w:hAnsi="Times New Roman"/>
          <w:sz w:val="24"/>
          <w:szCs w:val="24"/>
        </w:rPr>
        <w:t xml:space="preserve">di tutte le altre </w:t>
      </w:r>
      <w:r w:rsidR="007D2788" w:rsidRPr="00E5673A">
        <w:rPr>
          <w:rFonts w:ascii="Times New Roman" w:hAnsi="Times New Roman"/>
          <w:sz w:val="24"/>
          <w:szCs w:val="24"/>
        </w:rPr>
        <w:t>voci</w:t>
      </w:r>
      <w:r w:rsidR="000266C1" w:rsidRPr="00E5673A">
        <w:rPr>
          <w:rFonts w:ascii="Times New Roman" w:hAnsi="Times New Roman"/>
          <w:sz w:val="24"/>
          <w:szCs w:val="24"/>
        </w:rPr>
        <w:t xml:space="preserve"> ammissibili a contributo</w:t>
      </w:r>
      <w:r w:rsidR="000266C1" w:rsidRPr="00E5673A">
        <w:rPr>
          <w:rFonts w:ascii="Times New Roman" w:hAnsi="Times New Roman"/>
          <w:b/>
          <w:sz w:val="24"/>
          <w:szCs w:val="24"/>
        </w:rPr>
        <w:t xml:space="preserve"> </w:t>
      </w:r>
      <w:r w:rsidR="007D2788" w:rsidRPr="00E5673A">
        <w:rPr>
          <w:rFonts w:ascii="Times New Roman" w:hAnsi="Times New Roman"/>
          <w:sz w:val="24"/>
          <w:szCs w:val="24"/>
        </w:rPr>
        <w:t>la percentuale ricavata dalla seguente tabella:</w:t>
      </w:r>
    </w:p>
    <w:p w:rsidR="00CA12AE" w:rsidRPr="00B64876" w:rsidRDefault="00CA12AE" w:rsidP="00CA12AE">
      <w:pPr>
        <w:pStyle w:val="Paragrafoelenco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662"/>
        <w:gridCol w:w="4296"/>
        <w:gridCol w:w="1303"/>
      </w:tblGrid>
      <w:tr w:rsidR="007D2788" w:rsidRPr="001F57A7" w:rsidTr="000266C1">
        <w:trPr>
          <w:trHeight w:val="56"/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7D2788" w:rsidRPr="000266C1" w:rsidRDefault="007D2788" w:rsidP="00307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266C1">
              <w:rPr>
                <w:rFonts w:ascii="Times New Roman" w:hAnsi="Times New Roman"/>
                <w:b/>
                <w:sz w:val="24"/>
              </w:rPr>
              <w:t>N.</w:t>
            </w:r>
          </w:p>
        </w:tc>
        <w:tc>
          <w:tcPr>
            <w:tcW w:w="1858" w:type="pct"/>
            <w:shd w:val="clear" w:color="auto" w:fill="auto"/>
            <w:vAlign w:val="center"/>
          </w:tcPr>
          <w:p w:rsidR="007D2788" w:rsidRPr="000266C1" w:rsidRDefault="00FF77ED" w:rsidP="00E5673A">
            <w:pPr>
              <w:spacing w:after="0" w:line="240" w:lineRule="auto"/>
              <w:ind w:hanging="173"/>
              <w:jc w:val="center"/>
              <w:rPr>
                <w:rFonts w:ascii="Times New Roman" w:hAnsi="Times New Roman"/>
                <w:b/>
                <w:sz w:val="24"/>
              </w:rPr>
            </w:pPr>
            <w:r w:rsidRPr="000266C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D2788" w:rsidRPr="000266C1">
              <w:rPr>
                <w:rFonts w:ascii="Times New Roman" w:hAnsi="Times New Roman"/>
                <w:b/>
                <w:sz w:val="24"/>
              </w:rPr>
              <w:t xml:space="preserve">(L) </w:t>
            </w:r>
            <w:r w:rsidR="007D2788" w:rsidRPr="00E5673A">
              <w:rPr>
                <w:rFonts w:ascii="Times New Roman" w:hAnsi="Times New Roman"/>
                <w:b/>
                <w:sz w:val="24"/>
              </w:rPr>
              <w:t>=</w:t>
            </w:r>
            <w:r w:rsidR="00EC1BF7" w:rsidRPr="00E5673A">
              <w:rPr>
                <w:rFonts w:ascii="Times New Roman" w:hAnsi="Times New Roman"/>
                <w:b/>
                <w:sz w:val="24"/>
              </w:rPr>
              <w:t xml:space="preserve"> A</w:t>
            </w:r>
            <w:r w:rsidR="007D2788" w:rsidRPr="000266C1"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  <w:r w:rsidR="00EC1BF7" w:rsidRPr="000266C1">
              <w:rPr>
                <w:rFonts w:ascii="Times New Roman" w:hAnsi="Times New Roman"/>
                <w:b/>
                <w:color w:val="000000"/>
                <w:sz w:val="24"/>
              </w:rPr>
              <w:t>+</w:t>
            </w:r>
            <w:r w:rsidR="007D2788" w:rsidRPr="000266C1">
              <w:rPr>
                <w:rFonts w:ascii="Times New Roman" w:hAnsi="Times New Roman"/>
                <w:b/>
                <w:color w:val="000000"/>
                <w:sz w:val="24"/>
              </w:rPr>
              <w:t xml:space="preserve"> B + C + D + E</w:t>
            </w:r>
          </w:p>
        </w:tc>
        <w:tc>
          <w:tcPr>
            <w:tcW w:w="2180" w:type="pct"/>
            <w:shd w:val="clear" w:color="auto" w:fill="auto"/>
            <w:vAlign w:val="center"/>
          </w:tcPr>
          <w:p w:rsidR="007D2788" w:rsidRPr="000266C1" w:rsidRDefault="007D2788" w:rsidP="00307F9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</w:rPr>
            </w:pPr>
            <w:r w:rsidRPr="000266C1">
              <w:rPr>
                <w:rFonts w:ascii="Times New Roman" w:hAnsi="Times New Roman"/>
                <w:b/>
                <w:sz w:val="24"/>
              </w:rPr>
              <w:t>Percentuale da applicare</w:t>
            </w:r>
          </w:p>
          <w:p w:rsidR="007D2788" w:rsidRPr="000266C1" w:rsidRDefault="007D2788" w:rsidP="00307F9E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</w:rPr>
            </w:pPr>
            <w:r w:rsidRPr="000266C1">
              <w:rPr>
                <w:rFonts w:ascii="Times New Roman" w:hAnsi="Times New Roman"/>
                <w:b/>
                <w:sz w:val="24"/>
              </w:rPr>
              <w:t>(P)</w:t>
            </w:r>
          </w:p>
        </w:tc>
        <w:tc>
          <w:tcPr>
            <w:tcW w:w="661" w:type="pct"/>
            <w:shd w:val="clear" w:color="auto" w:fill="auto"/>
          </w:tcPr>
          <w:p w:rsidR="007D2788" w:rsidRPr="000266C1" w:rsidRDefault="007D2788" w:rsidP="00307F9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1F497D"/>
                <w:sz w:val="24"/>
              </w:rPr>
            </w:pPr>
            <w:r w:rsidRPr="000266C1">
              <w:rPr>
                <w:rFonts w:ascii="Times New Roman" w:hAnsi="Times New Roman"/>
                <w:b/>
                <w:sz w:val="24"/>
              </w:rPr>
              <w:t>Indicata con</w:t>
            </w:r>
          </w:p>
        </w:tc>
      </w:tr>
      <w:tr w:rsidR="007D2788" w:rsidRPr="001F57A7" w:rsidTr="007629FC">
        <w:trPr>
          <w:jc w:val="center"/>
        </w:trPr>
        <w:tc>
          <w:tcPr>
            <w:tcW w:w="301" w:type="pct"/>
            <w:vAlign w:val="center"/>
          </w:tcPr>
          <w:p w:rsidR="007D2788" w:rsidRPr="00971F67" w:rsidRDefault="007D2788" w:rsidP="0037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8" w:type="pct"/>
          </w:tcPr>
          <w:p w:rsidR="007D2788" w:rsidRPr="00971F67" w:rsidRDefault="007D2788" w:rsidP="001771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 xml:space="preserve">Fino a </w:t>
            </w:r>
            <w:r w:rsidR="00C6396E">
              <w:rPr>
                <w:rFonts w:ascii="Times New Roman" w:hAnsi="Times New Roman"/>
                <w:sz w:val="24"/>
              </w:rPr>
              <w:t xml:space="preserve">€ </w:t>
            </w:r>
            <w:r w:rsidR="0017715D" w:rsidRPr="00971F67">
              <w:rPr>
                <w:rFonts w:ascii="Times New Roman" w:hAnsi="Times New Roman"/>
                <w:sz w:val="24"/>
              </w:rPr>
              <w:t>499</w:t>
            </w:r>
            <w:r w:rsidRPr="00971F67">
              <w:rPr>
                <w:rFonts w:ascii="Times New Roman" w:hAnsi="Times New Roman"/>
                <w:sz w:val="24"/>
              </w:rPr>
              <w:t>.</w:t>
            </w:r>
            <w:r w:rsidR="0017715D" w:rsidRPr="00971F67">
              <w:rPr>
                <w:rFonts w:ascii="Times New Roman" w:hAnsi="Times New Roman"/>
                <w:sz w:val="24"/>
              </w:rPr>
              <w:t>999</w:t>
            </w:r>
            <w:r w:rsidR="00C6396E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2180" w:type="pct"/>
          </w:tcPr>
          <w:p w:rsidR="007D2788" w:rsidRPr="00971F67" w:rsidRDefault="00A12B94" w:rsidP="00A12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5</w:t>
            </w:r>
            <w:r w:rsidR="007D2788" w:rsidRPr="00971F67">
              <w:rPr>
                <w:rFonts w:ascii="Times New Roman" w:hAnsi="Times New Roman"/>
                <w:sz w:val="24"/>
              </w:rPr>
              <w:t>,0</w:t>
            </w:r>
            <w:r w:rsidR="00766869" w:rsidRPr="00971F67">
              <w:rPr>
                <w:rFonts w:ascii="Times New Roman" w:hAnsi="Times New Roman"/>
                <w:sz w:val="24"/>
              </w:rPr>
              <w:t>0</w:t>
            </w:r>
            <w:r w:rsidR="007D2788" w:rsidRPr="00971F67">
              <w:rPr>
                <w:rFonts w:ascii="Times New Roman" w:hAnsi="Times New Roman"/>
                <w:sz w:val="24"/>
              </w:rPr>
              <w:t xml:space="preserve"> %</w:t>
            </w:r>
            <w:r w:rsidR="00D03C03" w:rsidRPr="00971F67">
              <w:rPr>
                <w:rFonts w:ascii="Times New Roman" w:hAnsi="Times New Roman"/>
                <w:sz w:val="24"/>
              </w:rPr>
              <w:t xml:space="preserve"> </w:t>
            </w:r>
            <w:r w:rsidRPr="00971F67">
              <w:rPr>
                <w:rFonts w:ascii="Times New Roman" w:hAnsi="Times New Roman"/>
                <w:sz w:val="24"/>
              </w:rPr>
              <w:t>(massimo € 25.000,00)</w:t>
            </w:r>
          </w:p>
        </w:tc>
        <w:tc>
          <w:tcPr>
            <w:tcW w:w="661" w:type="pct"/>
          </w:tcPr>
          <w:p w:rsidR="007D2788" w:rsidRPr="00971F67" w:rsidRDefault="007D2788" w:rsidP="007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P1</w:t>
            </w:r>
          </w:p>
        </w:tc>
      </w:tr>
      <w:tr w:rsidR="007D2788" w:rsidRPr="001F57A7" w:rsidTr="007629FC">
        <w:trPr>
          <w:jc w:val="center"/>
        </w:trPr>
        <w:tc>
          <w:tcPr>
            <w:tcW w:w="301" w:type="pct"/>
            <w:vAlign w:val="center"/>
          </w:tcPr>
          <w:p w:rsidR="007D2788" w:rsidRPr="00971F67" w:rsidRDefault="007D2788" w:rsidP="0037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58" w:type="pct"/>
          </w:tcPr>
          <w:p w:rsidR="007D2788" w:rsidRPr="00971F67" w:rsidRDefault="007D2788" w:rsidP="00307F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 xml:space="preserve">&gt;  </w:t>
            </w:r>
            <w:r w:rsidR="00C6396E">
              <w:rPr>
                <w:rFonts w:ascii="Times New Roman" w:hAnsi="Times New Roman"/>
                <w:sz w:val="24"/>
              </w:rPr>
              <w:t xml:space="preserve">€ </w:t>
            </w:r>
            <w:r w:rsidRPr="00971F67">
              <w:rPr>
                <w:rFonts w:ascii="Times New Roman" w:hAnsi="Times New Roman"/>
                <w:sz w:val="24"/>
              </w:rPr>
              <w:t>500.000</w:t>
            </w:r>
            <w:r w:rsidR="00C6396E">
              <w:rPr>
                <w:rFonts w:ascii="Times New Roman" w:hAnsi="Times New Roman"/>
                <w:sz w:val="24"/>
              </w:rPr>
              <w:t xml:space="preserve">,00 &lt; € </w:t>
            </w:r>
            <w:r w:rsidRPr="00971F67">
              <w:rPr>
                <w:rFonts w:ascii="Times New Roman" w:hAnsi="Times New Roman"/>
                <w:sz w:val="24"/>
              </w:rPr>
              <w:t>1.</w:t>
            </w:r>
            <w:r w:rsidR="0017715D" w:rsidRPr="00971F67">
              <w:rPr>
                <w:rFonts w:ascii="Times New Roman" w:hAnsi="Times New Roman"/>
                <w:sz w:val="24"/>
              </w:rPr>
              <w:t>499.999</w:t>
            </w:r>
            <w:r w:rsidR="00C6396E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2180" w:type="pct"/>
          </w:tcPr>
          <w:p w:rsidR="007D2788" w:rsidRPr="00971F67" w:rsidRDefault="00A12B94" w:rsidP="00A12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3</w:t>
            </w:r>
            <w:r w:rsidR="007D2788" w:rsidRPr="00971F67">
              <w:rPr>
                <w:rFonts w:ascii="Times New Roman" w:hAnsi="Times New Roman"/>
                <w:sz w:val="24"/>
              </w:rPr>
              <w:t>,0</w:t>
            </w:r>
            <w:r w:rsidR="00766869" w:rsidRPr="00971F67">
              <w:rPr>
                <w:rFonts w:ascii="Times New Roman" w:hAnsi="Times New Roman"/>
                <w:sz w:val="24"/>
              </w:rPr>
              <w:t>0</w:t>
            </w:r>
            <w:r w:rsidR="007D2788" w:rsidRPr="00971F67">
              <w:rPr>
                <w:rFonts w:ascii="Times New Roman" w:hAnsi="Times New Roman"/>
                <w:sz w:val="24"/>
              </w:rPr>
              <w:t xml:space="preserve"> %</w:t>
            </w:r>
            <w:r w:rsidRPr="00971F67">
              <w:rPr>
                <w:rFonts w:ascii="Times New Roman" w:hAnsi="Times New Roman"/>
                <w:sz w:val="24"/>
              </w:rPr>
              <w:t xml:space="preserve"> (massimo € 45.000,00)</w:t>
            </w:r>
          </w:p>
        </w:tc>
        <w:tc>
          <w:tcPr>
            <w:tcW w:w="661" w:type="pct"/>
          </w:tcPr>
          <w:p w:rsidR="007D2788" w:rsidRPr="00971F67" w:rsidRDefault="007D2788" w:rsidP="007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P2</w:t>
            </w:r>
          </w:p>
        </w:tc>
      </w:tr>
      <w:tr w:rsidR="007D2788" w:rsidRPr="001F57A7" w:rsidTr="007629FC">
        <w:trPr>
          <w:jc w:val="center"/>
        </w:trPr>
        <w:tc>
          <w:tcPr>
            <w:tcW w:w="301" w:type="pct"/>
            <w:vAlign w:val="center"/>
          </w:tcPr>
          <w:p w:rsidR="007D2788" w:rsidRPr="00971F67" w:rsidRDefault="007D2788" w:rsidP="0037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58" w:type="pct"/>
          </w:tcPr>
          <w:p w:rsidR="007D2788" w:rsidRPr="00971F67" w:rsidRDefault="0017715D" w:rsidP="001771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 xml:space="preserve">&gt; </w:t>
            </w:r>
            <w:r w:rsidR="00C6396E">
              <w:rPr>
                <w:rFonts w:ascii="Times New Roman" w:hAnsi="Times New Roman"/>
                <w:sz w:val="24"/>
              </w:rPr>
              <w:t xml:space="preserve">€ </w:t>
            </w:r>
            <w:r w:rsidRPr="00971F67">
              <w:rPr>
                <w:rFonts w:ascii="Times New Roman" w:hAnsi="Times New Roman"/>
                <w:sz w:val="24"/>
              </w:rPr>
              <w:t>1.500.000</w:t>
            </w:r>
            <w:r w:rsidR="00C6396E">
              <w:rPr>
                <w:rFonts w:ascii="Times New Roman" w:hAnsi="Times New Roman"/>
                <w:sz w:val="24"/>
              </w:rPr>
              <w:t>,00</w:t>
            </w:r>
            <w:r w:rsidRPr="00971F67">
              <w:rPr>
                <w:rFonts w:ascii="Times New Roman" w:hAnsi="Times New Roman"/>
                <w:sz w:val="24"/>
              </w:rPr>
              <w:t xml:space="preserve"> &lt;  </w:t>
            </w:r>
            <w:r w:rsidR="00C6396E">
              <w:rPr>
                <w:rFonts w:ascii="Times New Roman" w:hAnsi="Times New Roman"/>
                <w:sz w:val="24"/>
              </w:rPr>
              <w:t xml:space="preserve">€ </w:t>
            </w:r>
            <w:r w:rsidRPr="00971F67">
              <w:rPr>
                <w:rFonts w:ascii="Times New Roman" w:hAnsi="Times New Roman"/>
                <w:sz w:val="24"/>
              </w:rPr>
              <w:t>2</w:t>
            </w:r>
            <w:r w:rsidR="007D2788" w:rsidRPr="00971F67">
              <w:rPr>
                <w:rFonts w:ascii="Times New Roman" w:hAnsi="Times New Roman"/>
                <w:sz w:val="24"/>
              </w:rPr>
              <w:t>.</w:t>
            </w:r>
            <w:r w:rsidRPr="00971F67">
              <w:rPr>
                <w:rFonts w:ascii="Times New Roman" w:hAnsi="Times New Roman"/>
                <w:sz w:val="24"/>
              </w:rPr>
              <w:t>999</w:t>
            </w:r>
            <w:r w:rsidR="007D2788" w:rsidRPr="00971F67">
              <w:rPr>
                <w:rFonts w:ascii="Times New Roman" w:hAnsi="Times New Roman"/>
                <w:sz w:val="24"/>
              </w:rPr>
              <w:t>.</w:t>
            </w:r>
            <w:r w:rsidRPr="00971F67">
              <w:rPr>
                <w:rFonts w:ascii="Times New Roman" w:hAnsi="Times New Roman"/>
                <w:sz w:val="24"/>
              </w:rPr>
              <w:t>999</w:t>
            </w:r>
            <w:r w:rsidR="00C6396E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2180" w:type="pct"/>
          </w:tcPr>
          <w:p w:rsidR="007D2788" w:rsidRPr="00971F67" w:rsidRDefault="00A12B94" w:rsidP="0030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2,0</w:t>
            </w:r>
            <w:r w:rsidR="00766869" w:rsidRPr="00971F67">
              <w:rPr>
                <w:rFonts w:ascii="Times New Roman" w:hAnsi="Times New Roman"/>
                <w:sz w:val="24"/>
              </w:rPr>
              <w:t>0</w:t>
            </w:r>
            <w:r w:rsidRPr="00971F67">
              <w:rPr>
                <w:rFonts w:ascii="Times New Roman" w:hAnsi="Times New Roman"/>
                <w:sz w:val="24"/>
              </w:rPr>
              <w:t xml:space="preserve"> % (massimo € 60.000,00)</w:t>
            </w:r>
          </w:p>
        </w:tc>
        <w:tc>
          <w:tcPr>
            <w:tcW w:w="661" w:type="pct"/>
          </w:tcPr>
          <w:p w:rsidR="007D2788" w:rsidRPr="00971F67" w:rsidRDefault="007D2788" w:rsidP="007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P3</w:t>
            </w:r>
          </w:p>
        </w:tc>
      </w:tr>
      <w:tr w:rsidR="007D2788" w:rsidRPr="001F57A7" w:rsidTr="007629FC">
        <w:trPr>
          <w:jc w:val="center"/>
        </w:trPr>
        <w:tc>
          <w:tcPr>
            <w:tcW w:w="301" w:type="pct"/>
            <w:vAlign w:val="center"/>
          </w:tcPr>
          <w:p w:rsidR="007D2788" w:rsidRPr="00971F67" w:rsidRDefault="007D2788" w:rsidP="0037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58" w:type="pct"/>
          </w:tcPr>
          <w:p w:rsidR="007D2788" w:rsidRPr="00971F67" w:rsidRDefault="007D2788" w:rsidP="001771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 xml:space="preserve">&gt; </w:t>
            </w:r>
            <w:r w:rsidR="00C6396E">
              <w:rPr>
                <w:rFonts w:ascii="Times New Roman" w:hAnsi="Times New Roman"/>
                <w:sz w:val="24"/>
              </w:rPr>
              <w:t xml:space="preserve">€ </w:t>
            </w:r>
            <w:r w:rsidRPr="00971F67">
              <w:rPr>
                <w:rFonts w:ascii="Times New Roman" w:hAnsi="Times New Roman"/>
                <w:sz w:val="24"/>
              </w:rPr>
              <w:t>3.000.000</w:t>
            </w:r>
            <w:r w:rsidR="00C6396E">
              <w:rPr>
                <w:rFonts w:ascii="Times New Roman" w:hAnsi="Times New Roman"/>
                <w:sz w:val="24"/>
              </w:rPr>
              <w:t>,00</w:t>
            </w:r>
            <w:r w:rsidRPr="00971F67">
              <w:rPr>
                <w:rFonts w:ascii="Times New Roman" w:hAnsi="Times New Roman"/>
                <w:sz w:val="24"/>
              </w:rPr>
              <w:t xml:space="preserve"> &lt;  </w:t>
            </w:r>
            <w:r w:rsidR="00C6396E">
              <w:rPr>
                <w:rFonts w:ascii="Times New Roman" w:hAnsi="Times New Roman"/>
                <w:sz w:val="24"/>
              </w:rPr>
              <w:t xml:space="preserve">€ </w:t>
            </w:r>
            <w:r w:rsidR="0017715D" w:rsidRPr="00971F67">
              <w:rPr>
                <w:rFonts w:ascii="Times New Roman" w:hAnsi="Times New Roman"/>
                <w:sz w:val="24"/>
              </w:rPr>
              <w:t>4</w:t>
            </w:r>
            <w:r w:rsidRPr="00971F67">
              <w:rPr>
                <w:rFonts w:ascii="Times New Roman" w:hAnsi="Times New Roman"/>
                <w:sz w:val="24"/>
              </w:rPr>
              <w:t>.</w:t>
            </w:r>
            <w:r w:rsidR="0017715D" w:rsidRPr="00971F67">
              <w:rPr>
                <w:rFonts w:ascii="Times New Roman" w:hAnsi="Times New Roman"/>
                <w:sz w:val="24"/>
              </w:rPr>
              <w:t>999</w:t>
            </w:r>
            <w:r w:rsidRPr="00971F67">
              <w:rPr>
                <w:rFonts w:ascii="Times New Roman" w:hAnsi="Times New Roman"/>
                <w:sz w:val="24"/>
              </w:rPr>
              <w:t>.</w:t>
            </w:r>
            <w:r w:rsidR="0017715D" w:rsidRPr="00971F67">
              <w:rPr>
                <w:rFonts w:ascii="Times New Roman" w:hAnsi="Times New Roman"/>
                <w:sz w:val="24"/>
              </w:rPr>
              <w:t>999</w:t>
            </w:r>
            <w:r w:rsidR="00C6396E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2180" w:type="pct"/>
          </w:tcPr>
          <w:p w:rsidR="007D2788" w:rsidRPr="00971F67" w:rsidRDefault="00A12B94" w:rsidP="00A12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1,5</w:t>
            </w:r>
            <w:r w:rsidR="00766869" w:rsidRPr="00971F67">
              <w:rPr>
                <w:rFonts w:ascii="Times New Roman" w:hAnsi="Times New Roman"/>
                <w:sz w:val="24"/>
              </w:rPr>
              <w:t>0</w:t>
            </w:r>
            <w:r w:rsidR="007D2788" w:rsidRPr="00971F67">
              <w:rPr>
                <w:rFonts w:ascii="Times New Roman" w:hAnsi="Times New Roman"/>
                <w:sz w:val="24"/>
              </w:rPr>
              <w:t xml:space="preserve"> %</w:t>
            </w:r>
            <w:r w:rsidRPr="00971F67">
              <w:rPr>
                <w:rFonts w:ascii="Times New Roman" w:hAnsi="Times New Roman"/>
                <w:sz w:val="24"/>
              </w:rPr>
              <w:t xml:space="preserve"> (massimo € 75.000,00)</w:t>
            </w:r>
          </w:p>
        </w:tc>
        <w:tc>
          <w:tcPr>
            <w:tcW w:w="661" w:type="pct"/>
          </w:tcPr>
          <w:p w:rsidR="007D2788" w:rsidRPr="00971F67" w:rsidRDefault="007D2788" w:rsidP="007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P4</w:t>
            </w:r>
          </w:p>
        </w:tc>
      </w:tr>
      <w:tr w:rsidR="007D2788" w:rsidRPr="001F57A7" w:rsidTr="007629FC">
        <w:trPr>
          <w:jc w:val="center"/>
        </w:trPr>
        <w:tc>
          <w:tcPr>
            <w:tcW w:w="301" w:type="pct"/>
            <w:vAlign w:val="center"/>
          </w:tcPr>
          <w:p w:rsidR="007D2788" w:rsidRPr="00971F67" w:rsidRDefault="007D2788" w:rsidP="0037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58" w:type="pct"/>
          </w:tcPr>
          <w:p w:rsidR="007D2788" w:rsidRPr="00971F67" w:rsidRDefault="007D2788" w:rsidP="00307F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 xml:space="preserve">&gt; </w:t>
            </w:r>
            <w:r w:rsidR="00C6396E">
              <w:rPr>
                <w:rFonts w:ascii="Times New Roman" w:hAnsi="Times New Roman"/>
                <w:sz w:val="24"/>
              </w:rPr>
              <w:t xml:space="preserve">€ </w:t>
            </w:r>
            <w:r w:rsidRPr="00971F67">
              <w:rPr>
                <w:rFonts w:ascii="Times New Roman" w:hAnsi="Times New Roman"/>
                <w:sz w:val="24"/>
              </w:rPr>
              <w:t>5.000.000</w:t>
            </w:r>
            <w:r w:rsidR="00C6396E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2180" w:type="pct"/>
          </w:tcPr>
          <w:p w:rsidR="007D2788" w:rsidRPr="00971F67" w:rsidRDefault="00A12B94" w:rsidP="00A12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massimo € 85.000,00</w:t>
            </w:r>
          </w:p>
        </w:tc>
        <w:tc>
          <w:tcPr>
            <w:tcW w:w="661" w:type="pct"/>
          </w:tcPr>
          <w:p w:rsidR="007D2788" w:rsidRPr="00971F67" w:rsidRDefault="007D2788" w:rsidP="007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1F67">
              <w:rPr>
                <w:rFonts w:ascii="Times New Roman" w:hAnsi="Times New Roman"/>
                <w:sz w:val="24"/>
              </w:rPr>
              <w:t>P5</w:t>
            </w:r>
          </w:p>
        </w:tc>
      </w:tr>
    </w:tbl>
    <w:p w:rsidR="007D2788" w:rsidRDefault="00E921B8" w:rsidP="00375FB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Nel caso in cui il valore di “L” sia </w:t>
      </w:r>
      <w:r w:rsidR="00E147BA">
        <w:rPr>
          <w:rFonts w:ascii="Times New Roman" w:hAnsi="Times New Roman"/>
          <w:color w:val="000000"/>
          <w:sz w:val="24"/>
          <w:szCs w:val="24"/>
        </w:rPr>
        <w:t>superiore</w:t>
      </w:r>
      <w:r>
        <w:rPr>
          <w:rFonts w:ascii="Times New Roman" w:hAnsi="Times New Roman"/>
          <w:color w:val="000000"/>
          <w:sz w:val="24"/>
          <w:szCs w:val="24"/>
        </w:rPr>
        <w:t xml:space="preserve"> ad € 499.999,00 </w:t>
      </w:r>
      <w:r w:rsidR="005574A7">
        <w:rPr>
          <w:rFonts w:ascii="Times New Roman" w:hAnsi="Times New Roman"/>
          <w:color w:val="000000"/>
          <w:sz w:val="24"/>
          <w:szCs w:val="24"/>
        </w:rPr>
        <w:t xml:space="preserve">la percentuale “P” è determinata dalla </w:t>
      </w:r>
      <w:r w:rsidR="00B64876">
        <w:rPr>
          <w:rFonts w:ascii="Times New Roman" w:hAnsi="Times New Roman"/>
          <w:color w:val="000000"/>
          <w:sz w:val="24"/>
          <w:szCs w:val="24"/>
        </w:rPr>
        <w:t>seguente</w:t>
      </w:r>
      <w:r w:rsidR="005574A7">
        <w:rPr>
          <w:rFonts w:ascii="Times New Roman" w:hAnsi="Times New Roman"/>
          <w:color w:val="000000"/>
          <w:sz w:val="24"/>
          <w:szCs w:val="24"/>
        </w:rPr>
        <w:t xml:space="preserve"> formula</w:t>
      </w:r>
      <w:r w:rsidR="007D2788" w:rsidRPr="003D385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266C1" w:rsidRDefault="005C525A" w:rsidP="00375FB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color w:val="000000"/>
          <w:lang w:eastAsia="it-IT"/>
        </w:rPr>
      </w:pP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>
            <wp:extent cx="2545080" cy="502195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59" cy="51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double" w:sz="12" w:space="0" w:color="C0504D"/>
          <w:left w:val="double" w:sz="12" w:space="0" w:color="C0504D"/>
          <w:bottom w:val="double" w:sz="12" w:space="0" w:color="C0504D"/>
          <w:right w:val="double" w:sz="12" w:space="0" w:color="C0504D"/>
          <w:insideH w:val="double" w:sz="12" w:space="0" w:color="C0504D"/>
          <w:insideV w:val="double" w:sz="12" w:space="0" w:color="C0504D"/>
        </w:tblBorders>
        <w:tblLook w:val="04A0"/>
      </w:tblPr>
      <w:tblGrid>
        <w:gridCol w:w="9606"/>
      </w:tblGrid>
      <w:tr w:rsidR="007D2788" w:rsidRPr="001F57A7" w:rsidTr="001F57A7">
        <w:trPr>
          <w:jc w:val="center"/>
        </w:trPr>
        <w:tc>
          <w:tcPr>
            <w:tcW w:w="9606" w:type="dxa"/>
          </w:tcPr>
          <w:p w:rsidR="007D2788" w:rsidRPr="00971F67" w:rsidRDefault="000266C1" w:rsidP="001F57A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caps/>
                <w:color w:val="C0504D"/>
                <w:spacing w:val="14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lang w:eastAsia="it-IT"/>
              </w:rPr>
              <w:br w:type="page"/>
            </w:r>
            <w:r w:rsidR="007D2788" w:rsidRPr="00971F67">
              <w:rPr>
                <w:rFonts w:ascii="Times New Roman" w:hAnsi="Times New Roman"/>
                <w:b/>
                <w:color w:val="C0504D"/>
                <w:sz w:val="24"/>
              </w:rPr>
              <w:t>ESEMPIO di calcolo del</w:t>
            </w:r>
            <w:r w:rsidR="00FF77ED">
              <w:rPr>
                <w:rFonts w:ascii="Times New Roman" w:hAnsi="Times New Roman"/>
                <w:b/>
                <w:color w:val="C0504D"/>
                <w:sz w:val="24"/>
              </w:rPr>
              <w:t xml:space="preserve"> costo </w:t>
            </w:r>
            <w:r w:rsidR="007D2788" w:rsidRPr="00971F67">
              <w:rPr>
                <w:rFonts w:ascii="Times New Roman" w:hAnsi="Times New Roman"/>
                <w:b/>
                <w:color w:val="C0504D"/>
                <w:sz w:val="24"/>
              </w:rPr>
              <w:t>ammissibile per il coordinamento:</w:t>
            </w:r>
          </w:p>
          <w:p w:rsidR="007D2788" w:rsidRPr="00971F67" w:rsidRDefault="007D2788" w:rsidP="002454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aps/>
                <w:color w:val="000000"/>
                <w:spacing w:val="14"/>
                <w:sz w:val="24"/>
              </w:rPr>
            </w:pPr>
            <w:r w:rsidRPr="00971F67">
              <w:rPr>
                <w:rFonts w:ascii="Times New Roman" w:hAnsi="Times New Roman"/>
                <w:color w:val="000000"/>
                <w:sz w:val="24"/>
              </w:rPr>
              <w:t xml:space="preserve">L’importo (L) </w:t>
            </w:r>
            <w:r w:rsidR="00EA4D76">
              <w:rPr>
                <w:rFonts w:ascii="Times New Roman" w:hAnsi="Times New Roman"/>
                <w:color w:val="000000"/>
                <w:sz w:val="24"/>
              </w:rPr>
              <w:t>derivante dalla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 xml:space="preserve"> somma de</w:t>
            </w:r>
            <w:r w:rsidR="00EA4D76">
              <w:rPr>
                <w:rFonts w:ascii="Times New Roman" w:hAnsi="Times New Roman"/>
                <w:color w:val="000000"/>
                <w:sz w:val="24"/>
              </w:rPr>
              <w:t xml:space="preserve">i costi previsti per 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 xml:space="preserve">le voci A, B, C, D ed E del progetto è di € 700.000. </w:t>
            </w:r>
          </w:p>
          <w:p w:rsidR="007D2788" w:rsidRDefault="007D2788" w:rsidP="002454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71F67">
              <w:rPr>
                <w:rFonts w:ascii="Times New Roman" w:hAnsi="Times New Roman"/>
                <w:color w:val="000000"/>
                <w:sz w:val="24"/>
              </w:rPr>
              <w:t xml:space="preserve">Per l’importo di € 700.000 occorre calcolare la P (%) da applicare </w:t>
            </w:r>
            <w:r w:rsidR="006038A0">
              <w:rPr>
                <w:rFonts w:ascii="Times New Roman" w:hAnsi="Times New Roman"/>
                <w:color w:val="000000"/>
                <w:sz w:val="24"/>
              </w:rPr>
              <w:t xml:space="preserve">al calcolo. Posto che: </w:t>
            </w:r>
          </w:p>
          <w:p w:rsidR="007D2788" w:rsidRPr="00971F67" w:rsidRDefault="007D2788" w:rsidP="002454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71F67">
              <w:rPr>
                <w:rFonts w:ascii="Times New Roman" w:hAnsi="Times New Roman"/>
                <w:color w:val="000000"/>
                <w:sz w:val="24"/>
              </w:rPr>
              <w:t>(P</w:t>
            </w:r>
            <w:r w:rsidRPr="00971F67">
              <w:rPr>
                <w:rFonts w:ascii="Times New Roman" w:hAnsi="Times New Roman"/>
                <w:color w:val="000000"/>
                <w:sz w:val="24"/>
                <w:vertAlign w:val="subscript"/>
              </w:rPr>
              <w:t>2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>) =</w:t>
            </w:r>
            <w:r w:rsidR="006757BA" w:rsidRPr="00971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3,0</w:t>
            </w:r>
            <w:r w:rsidR="00766869" w:rsidRPr="00971F67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>%, (P</w:t>
            </w:r>
            <w:r w:rsidRPr="00971F67">
              <w:rPr>
                <w:rFonts w:ascii="Times New Roman" w:hAnsi="Times New Roman"/>
                <w:color w:val="000000"/>
                <w:sz w:val="24"/>
                <w:vertAlign w:val="subscript"/>
              </w:rPr>
              <w:t>1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>)</w:t>
            </w:r>
            <w:r w:rsidR="007F6B94" w:rsidRPr="00971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>= 5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,0</w:t>
            </w:r>
            <w:r w:rsidR="00766869" w:rsidRPr="00971F67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>%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, (L</w:t>
            </w:r>
            <w:r w:rsidR="003539FB" w:rsidRPr="00971F67">
              <w:rPr>
                <w:rFonts w:ascii="Times New Roman" w:hAnsi="Times New Roman"/>
                <w:color w:val="000000"/>
                <w:sz w:val="24"/>
                <w:vertAlign w:val="subscript"/>
              </w:rPr>
              <w:t>1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)</w:t>
            </w:r>
            <w:r w:rsidR="007F6B94" w:rsidRPr="00971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 xml:space="preserve">= </w:t>
            </w:r>
            <w:r w:rsidR="00C6396E">
              <w:rPr>
                <w:rFonts w:ascii="Times New Roman" w:hAnsi="Times New Roman"/>
                <w:color w:val="000000"/>
                <w:sz w:val="24"/>
              </w:rPr>
              <w:t xml:space="preserve">€ 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500.000,</w:t>
            </w:r>
            <w:r w:rsidR="00C6396E">
              <w:rPr>
                <w:rFonts w:ascii="Times New Roman" w:hAnsi="Times New Roman"/>
                <w:color w:val="000000"/>
                <w:sz w:val="24"/>
              </w:rPr>
              <w:t>00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 xml:space="preserve"> (L</w:t>
            </w:r>
            <w:r w:rsidR="003539FB" w:rsidRPr="00971F67">
              <w:rPr>
                <w:rFonts w:ascii="Times New Roman" w:hAnsi="Times New Roman"/>
                <w:color w:val="000000"/>
                <w:sz w:val="24"/>
                <w:vertAlign w:val="subscript"/>
              </w:rPr>
              <w:t>2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)</w:t>
            </w:r>
            <w:r w:rsidR="007F6B94" w:rsidRPr="00971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 xml:space="preserve">= </w:t>
            </w:r>
            <w:r w:rsidR="00C6396E">
              <w:rPr>
                <w:rFonts w:ascii="Times New Roman" w:hAnsi="Times New Roman"/>
                <w:color w:val="000000"/>
                <w:sz w:val="24"/>
              </w:rPr>
              <w:t xml:space="preserve">€ 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1.499.999</w:t>
            </w:r>
            <w:r w:rsidR="00C6396E">
              <w:rPr>
                <w:rFonts w:ascii="Times New Roman" w:hAnsi="Times New Roman"/>
                <w:color w:val="000000"/>
                <w:sz w:val="24"/>
              </w:rPr>
              <w:t>,00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D2788" w:rsidRPr="00971F67" w:rsidRDefault="006A7982" w:rsidP="002454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eastAsia="it-IT"/>
              </w:rPr>
              <w:pict>
                <v:group id="_x0000_s1026" style="position:absolute;left:0;text-align:left;margin-left:66.85pt;margin-top:9.6pt;width:328.4pt;height:42.15pt;z-index:251660288" coordorigin="2595,5480" coordsize="6568,843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080;top:5900;width:22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rect id="_x0000_s1028" style="position:absolute;left:3859;top:5948;width:2592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v:textbox style="mso-next-textbox:#_x0000_s1028">
                      <w:txbxContent>
                        <w:p w:rsidR="007D2788" w:rsidRPr="00192857" w:rsidRDefault="00C6396E" w:rsidP="007D2788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€ </w:t>
                          </w:r>
                          <w:r w:rsidR="007D2788" w:rsidRPr="00192857">
                            <w:rPr>
                              <w:rFonts w:ascii="Times New Roman" w:hAnsi="Times New Roman"/>
                            </w:rPr>
                            <w:t>1.</w:t>
                          </w:r>
                          <w:r w:rsidR="003539FB">
                            <w:rPr>
                              <w:rFonts w:ascii="Times New Roman" w:hAnsi="Times New Roman"/>
                            </w:rPr>
                            <w:t>499.999</w:t>
                          </w:r>
                          <w:r w:rsidR="007D2788" w:rsidRPr="00192857">
                            <w:rPr>
                              <w:rFonts w:ascii="Times New Roman" w:hAnsi="Times New Roman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€ </w:t>
                          </w:r>
                          <w:r w:rsidR="007D2788" w:rsidRPr="00192857">
                            <w:rPr>
                              <w:rFonts w:ascii="Times New Roman" w:hAnsi="Times New Roman"/>
                            </w:rPr>
                            <w:t>500.000</w:t>
                          </w:r>
                        </w:p>
                      </w:txbxContent>
                    </v:textbox>
                  </v:rect>
                  <v:rect id="_x0000_s1029" style="position:absolute;left:6328;top:5687;width:283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  <v:textbox style="mso-next-textbox:#_x0000_s1029">
                      <w:txbxContent>
                        <w:p w:rsidR="007D2788" w:rsidRPr="00192857" w:rsidRDefault="007D2788" w:rsidP="007D2788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x</w:t>
                          </w:r>
                          <w:r w:rsidRPr="00192857">
                            <w:rPr>
                              <w:rFonts w:ascii="Times New Roman" w:hAnsi="Times New Roman"/>
                            </w:rPr>
                            <w:t xml:space="preserve"> (5</w:t>
                          </w:r>
                          <w:r w:rsidR="003539FB">
                            <w:rPr>
                              <w:rFonts w:ascii="Times New Roman" w:hAnsi="Times New Roman"/>
                            </w:rPr>
                            <w:t>,0</w:t>
                          </w:r>
                          <w:r w:rsidR="00766869">
                            <w:rPr>
                              <w:rFonts w:ascii="Times New Roman" w:hAnsi="Times New Roman"/>
                            </w:rPr>
                            <w:t>0</w:t>
                          </w:r>
                          <w:r w:rsidRPr="00192857">
                            <w:rPr>
                              <w:rFonts w:ascii="Times New Roman" w:hAnsi="Times New Roman"/>
                            </w:rPr>
                            <w:t xml:space="preserve">% - </w:t>
                          </w:r>
                          <w:r w:rsidR="003539FB">
                            <w:rPr>
                              <w:rFonts w:ascii="Times New Roman" w:hAnsi="Times New Roman"/>
                            </w:rPr>
                            <w:t>3,0</w:t>
                          </w:r>
                          <w:r w:rsidR="00766869">
                            <w:rPr>
                              <w:rFonts w:ascii="Times New Roman" w:hAnsi="Times New Roman"/>
                            </w:rPr>
                            <w:t>0</w:t>
                          </w:r>
                          <w:r w:rsidRPr="00192857">
                            <w:rPr>
                              <w:rFonts w:ascii="Times New Roman" w:hAnsi="Times New Roman"/>
                            </w:rPr>
                            <w:t xml:space="preserve">%) = </w:t>
                          </w:r>
                          <w:r w:rsidR="003539FB">
                            <w:rPr>
                              <w:rFonts w:ascii="Times New Roman" w:hAnsi="Times New Roman"/>
                              <w:b/>
                            </w:rPr>
                            <w:t>4,6</w:t>
                          </w:r>
                          <w:r w:rsidR="00766869">
                            <w:rPr>
                              <w:rFonts w:ascii="Times New Roman" w:hAnsi="Times New Roman"/>
                              <w:b/>
                            </w:rPr>
                            <w:t>0</w:t>
                          </w:r>
                          <w:r w:rsidRPr="00192857">
                            <w:rPr>
                              <w:rFonts w:ascii="Times New Roman" w:hAnsi="Times New Roman"/>
                              <w:b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30" style="position:absolute;left:3874;top:5480;width:2592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  <v:textbox style="mso-next-textbox:#_x0000_s1030">
                      <w:txbxContent>
                        <w:p w:rsidR="007D2788" w:rsidRPr="00192857" w:rsidRDefault="00C6396E" w:rsidP="007D2788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€ </w:t>
                          </w:r>
                          <w:r w:rsidR="007D2788" w:rsidRPr="00192857">
                            <w:rPr>
                              <w:rFonts w:ascii="Times New Roman" w:hAnsi="Times New Roman"/>
                            </w:rPr>
                            <w:t>1.</w:t>
                          </w:r>
                          <w:r w:rsidR="003539FB">
                            <w:rPr>
                              <w:rFonts w:ascii="Times New Roman" w:hAnsi="Times New Roman"/>
                            </w:rPr>
                            <w:t>499.999</w:t>
                          </w:r>
                          <w:r w:rsidR="007D2788" w:rsidRPr="00192857">
                            <w:rPr>
                              <w:rFonts w:ascii="Times New Roman" w:hAnsi="Times New Roman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€ </w:t>
                          </w:r>
                          <w:r w:rsidR="007D2788" w:rsidRPr="00192857">
                            <w:rPr>
                              <w:rFonts w:ascii="Times New Roman" w:hAnsi="Times New Roman"/>
                            </w:rPr>
                            <w:t>700.000</w:t>
                          </w:r>
                        </w:p>
                      </w:txbxContent>
                    </v:textbox>
                  </v:rect>
                  <v:rect id="_x0000_s1031" style="position:absolute;left:2595;top:5723;width:148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 style="mso-next-textbox:#_x0000_s1031">
                      <w:txbxContent>
                        <w:p w:rsidR="007D2788" w:rsidRPr="00192857" w:rsidRDefault="007D2788" w:rsidP="007D2788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92857">
                            <w:rPr>
                              <w:rFonts w:ascii="Times New Roman" w:hAnsi="Times New Roman"/>
                              <w:b/>
                            </w:rPr>
                            <w:t>P</w:t>
                          </w:r>
                          <w:r w:rsidR="003539FB">
                            <w:rPr>
                              <w:rFonts w:ascii="Times New Roman" w:hAnsi="Times New Roman"/>
                            </w:rPr>
                            <w:t xml:space="preserve"> = 3,0</w:t>
                          </w:r>
                          <w:r w:rsidR="00766869">
                            <w:rPr>
                              <w:rFonts w:ascii="Times New Roman" w:hAnsi="Times New Roman"/>
                            </w:rPr>
                            <w:t>0</w:t>
                          </w:r>
                          <w:r w:rsidRPr="00192857">
                            <w:rPr>
                              <w:rFonts w:ascii="Times New Roman" w:hAnsi="Times New Roman"/>
                            </w:rPr>
                            <w:t xml:space="preserve">% + 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7D2788" w:rsidRPr="00971F67" w:rsidRDefault="007D2788" w:rsidP="002454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539FB" w:rsidRPr="00971F67" w:rsidRDefault="003539FB" w:rsidP="002454F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D2788" w:rsidRDefault="007D2788" w:rsidP="002454F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71F67">
              <w:rPr>
                <w:rFonts w:ascii="Times New Roman" w:hAnsi="Times New Roman"/>
                <w:b/>
                <w:color w:val="000000"/>
                <w:sz w:val="24"/>
              </w:rPr>
              <w:t>P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 w:rsidR="00B17F82" w:rsidRPr="00971F67">
              <w:rPr>
                <w:rFonts w:ascii="Times New Roman" w:hAnsi="Times New Roman"/>
                <w:sz w:val="24"/>
              </w:rPr>
              <w:t>4,60</w:t>
            </w:r>
            <w:r w:rsidRPr="00971F67">
              <w:rPr>
                <w:rFonts w:ascii="Times New Roman" w:hAnsi="Times New Roman"/>
                <w:sz w:val="24"/>
              </w:rPr>
              <w:t>%</w:t>
            </w:r>
            <w:r w:rsidRPr="00971F67">
              <w:rPr>
                <w:rFonts w:ascii="Times New Roman" w:hAnsi="Times New Roman"/>
                <w:color w:val="000000"/>
                <w:sz w:val="24"/>
              </w:rPr>
              <w:t xml:space="preserve"> è il valore percentuale da applicare </w:t>
            </w:r>
            <w:r w:rsidR="008859F9">
              <w:rPr>
                <w:rFonts w:ascii="Times New Roman" w:hAnsi="Times New Roman"/>
                <w:color w:val="000000"/>
                <w:sz w:val="24"/>
              </w:rPr>
              <w:t>all</w:t>
            </w:r>
            <w:r w:rsidR="008859F9" w:rsidRPr="00EA4D76">
              <w:rPr>
                <w:rFonts w:ascii="Times New Roman" w:hAnsi="Times New Roman"/>
                <w:color w:val="000000"/>
                <w:sz w:val="24"/>
              </w:rPr>
              <w:t>’importo</w:t>
            </w:r>
            <w:r w:rsidR="00EA4D76">
              <w:rPr>
                <w:rFonts w:ascii="Times New Roman" w:hAnsi="Times New Roman"/>
                <w:color w:val="000000"/>
                <w:sz w:val="24"/>
              </w:rPr>
              <w:t xml:space="preserve"> (L) come sopra determinato</w:t>
            </w:r>
            <w:r w:rsidR="000266C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7D2788" w:rsidRPr="001F57A7" w:rsidRDefault="004941EA" w:rsidP="00C6396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Costo </w:t>
            </w:r>
            <w:r w:rsidR="007D2788" w:rsidRPr="00971F67">
              <w:rPr>
                <w:rFonts w:ascii="Times New Roman" w:hAnsi="Times New Roman"/>
                <w:b/>
                <w:color w:val="000000"/>
                <w:sz w:val="24"/>
              </w:rPr>
              <w:t>di coordinamento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 xml:space="preserve"> = (L) x (P) = </w:t>
            </w:r>
            <w:r w:rsidR="00C6396E">
              <w:rPr>
                <w:rFonts w:ascii="Times New Roman" w:hAnsi="Times New Roman"/>
                <w:color w:val="000000"/>
                <w:sz w:val="24"/>
              </w:rPr>
              <w:t xml:space="preserve">€ 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>700.00</w:t>
            </w:r>
            <w:r w:rsidR="00C6396E">
              <w:rPr>
                <w:rFonts w:ascii="Times New Roman" w:hAnsi="Times New Roman"/>
                <w:color w:val="000000"/>
                <w:sz w:val="24"/>
              </w:rPr>
              <w:t>,00</w:t>
            </w:r>
            <w:r w:rsidR="003539FB" w:rsidRPr="00971F67">
              <w:rPr>
                <w:rFonts w:ascii="Times New Roman" w:hAnsi="Times New Roman"/>
                <w:color w:val="000000"/>
                <w:sz w:val="24"/>
              </w:rPr>
              <w:t xml:space="preserve"> x 4,6</w:t>
            </w:r>
            <w:r w:rsidR="007D2788" w:rsidRPr="00971F67">
              <w:rPr>
                <w:rFonts w:ascii="Times New Roman" w:hAnsi="Times New Roman"/>
                <w:color w:val="000000"/>
                <w:sz w:val="24"/>
              </w:rPr>
              <w:t xml:space="preserve">0% = </w:t>
            </w:r>
            <w:r w:rsidR="00766869" w:rsidRPr="00971F67">
              <w:rPr>
                <w:rFonts w:ascii="Times New Roman" w:hAnsi="Times New Roman"/>
                <w:color w:val="000000"/>
                <w:sz w:val="24"/>
              </w:rPr>
              <w:t xml:space="preserve">€ </w:t>
            </w:r>
            <w:r w:rsidR="003539FB" w:rsidRPr="00971F67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  <w:r w:rsidR="007D2788" w:rsidRPr="00971F67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3539FB" w:rsidRPr="00971F67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="007D2788" w:rsidRPr="00971F67">
              <w:rPr>
                <w:rFonts w:ascii="Times New Roman" w:hAnsi="Times New Roman"/>
                <w:b/>
                <w:color w:val="000000"/>
                <w:sz w:val="24"/>
              </w:rPr>
              <w:t>00,00</w:t>
            </w:r>
          </w:p>
        </w:tc>
      </w:tr>
    </w:tbl>
    <w:p w:rsidR="007D2788" w:rsidRDefault="007D2788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D420D9" w:rsidRDefault="00D420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EF5ADA" w:rsidRPr="008474AE" w:rsidRDefault="00EF5ADA" w:rsidP="008474AE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231420">
        <w:rPr>
          <w:rFonts w:ascii="Times New Roman" w:hAnsi="Times New Roman" w:cs="Times New Roman"/>
          <w:color w:val="auto"/>
          <w:u w:val="single"/>
        </w:rPr>
        <w:lastRenderedPageBreak/>
        <w:t xml:space="preserve">CRITERI </w:t>
      </w:r>
      <w:proofErr w:type="spellStart"/>
      <w:r w:rsidRPr="00231420">
        <w:rPr>
          <w:rFonts w:ascii="Times New Roman" w:hAnsi="Times New Roman" w:cs="Times New Roman"/>
          <w:color w:val="auto"/>
          <w:u w:val="single"/>
        </w:rPr>
        <w:t>DI</w:t>
      </w:r>
      <w:proofErr w:type="spellEnd"/>
      <w:r w:rsidRPr="00231420">
        <w:rPr>
          <w:rFonts w:ascii="Times New Roman" w:hAnsi="Times New Roman" w:cs="Times New Roman"/>
          <w:color w:val="auto"/>
          <w:u w:val="single"/>
        </w:rPr>
        <w:t xml:space="preserve"> AMMISSIBILITA’ DEI COSTI</w:t>
      </w:r>
    </w:p>
    <w:p w:rsidR="00EF5ADA" w:rsidRPr="00231420" w:rsidRDefault="00EF5ADA" w:rsidP="00EF5ADA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 xml:space="preserve">In generale un costo è ammissibile se: </w:t>
      </w:r>
    </w:p>
    <w:p w:rsidR="00EF5ADA" w:rsidRPr="00231420" w:rsidRDefault="00EF5ADA" w:rsidP="00EF5ADA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>è riferibile temporalmente al periodo di vigenza del progetto;</w:t>
      </w:r>
    </w:p>
    <w:p w:rsidR="00EF5ADA" w:rsidRPr="00231420" w:rsidRDefault="00EF5ADA" w:rsidP="00EF5ADA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>è imputabile, pertinente e congruo rispetto a operazioni ammissibili</w:t>
      </w:r>
      <w:r w:rsidR="00C6396E">
        <w:rPr>
          <w:rFonts w:ascii="Times New Roman" w:hAnsi="Times New Roman"/>
          <w:sz w:val="24"/>
          <w:szCs w:val="24"/>
        </w:rPr>
        <w:t>;</w:t>
      </w:r>
    </w:p>
    <w:p w:rsidR="00EF5ADA" w:rsidRPr="00231420" w:rsidRDefault="00EF5ADA" w:rsidP="00EF5ADA">
      <w:pPr>
        <w:pStyle w:val="Paragrafoelenco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 xml:space="preserve">è verificabile e controllabile. </w:t>
      </w:r>
    </w:p>
    <w:p w:rsidR="00BC71C5" w:rsidRPr="00231420" w:rsidRDefault="00C6396E" w:rsidP="0067176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verifica dell’</w:t>
      </w:r>
      <w:r w:rsidR="00671762" w:rsidRPr="00231420">
        <w:rPr>
          <w:rFonts w:ascii="Times New Roman" w:hAnsi="Times New Roman"/>
          <w:sz w:val="24"/>
          <w:szCs w:val="24"/>
        </w:rPr>
        <w:t xml:space="preserve">ammissibilità </w:t>
      </w:r>
      <w:r>
        <w:rPr>
          <w:rFonts w:ascii="Times New Roman" w:hAnsi="Times New Roman"/>
          <w:sz w:val="24"/>
          <w:szCs w:val="24"/>
        </w:rPr>
        <w:t xml:space="preserve">dei costi </w:t>
      </w:r>
      <w:r w:rsidR="00BC71C5" w:rsidRPr="00231420"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di </w:t>
      </w:r>
      <w:r w:rsidR="0065129C" w:rsidRPr="00231420">
        <w:rPr>
          <w:rFonts w:ascii="Times New Roman" w:hAnsi="Times New Roman"/>
          <w:sz w:val="24"/>
          <w:szCs w:val="24"/>
        </w:rPr>
        <w:t xml:space="preserve">competenza del </w:t>
      </w:r>
      <w:proofErr w:type="spellStart"/>
      <w:r w:rsidR="00BC71C5" w:rsidRPr="00231420">
        <w:rPr>
          <w:rFonts w:ascii="Times New Roman" w:hAnsi="Times New Roman"/>
          <w:sz w:val="24"/>
          <w:szCs w:val="24"/>
        </w:rPr>
        <w:t>Mipaaft</w:t>
      </w:r>
      <w:proofErr w:type="spellEnd"/>
      <w:r w:rsidR="00BC71C5" w:rsidRPr="00231420">
        <w:rPr>
          <w:rFonts w:ascii="Times New Roman" w:hAnsi="Times New Roman"/>
          <w:sz w:val="24"/>
          <w:szCs w:val="24"/>
        </w:rPr>
        <w:t xml:space="preserve"> </w:t>
      </w:r>
      <w:r w:rsidR="0065129C" w:rsidRPr="0023142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è</w:t>
      </w:r>
      <w:r w:rsidR="0065129C" w:rsidRPr="00231420">
        <w:rPr>
          <w:rFonts w:ascii="Times New Roman" w:hAnsi="Times New Roman"/>
          <w:sz w:val="24"/>
          <w:szCs w:val="24"/>
        </w:rPr>
        <w:t xml:space="preserve"> definita sulla base dei criteri di seguito riportati applicati, ove pertinente, anche</w:t>
      </w:r>
      <w:r w:rsidR="00671762" w:rsidRPr="00231420">
        <w:rPr>
          <w:rFonts w:ascii="Times New Roman" w:hAnsi="Times New Roman"/>
          <w:sz w:val="24"/>
          <w:szCs w:val="24"/>
        </w:rPr>
        <w:t xml:space="preserve"> </w:t>
      </w:r>
      <w:r w:rsidR="0065129C" w:rsidRPr="00231420">
        <w:rPr>
          <w:rFonts w:ascii="Times New Roman" w:hAnsi="Times New Roman"/>
          <w:sz w:val="24"/>
          <w:szCs w:val="24"/>
        </w:rPr>
        <w:t>d</w:t>
      </w:r>
      <w:r w:rsidR="007D1BC2" w:rsidRPr="00231420">
        <w:rPr>
          <w:rFonts w:ascii="Times New Roman" w:hAnsi="Times New Roman"/>
          <w:sz w:val="24"/>
          <w:szCs w:val="24"/>
        </w:rPr>
        <w:t>a</w:t>
      </w:r>
      <w:r w:rsidR="00BC71C5" w:rsidRPr="00231420">
        <w:rPr>
          <w:rFonts w:ascii="Times New Roman" w:hAnsi="Times New Roman"/>
          <w:sz w:val="24"/>
          <w:szCs w:val="24"/>
        </w:rPr>
        <w:t>lla eventuale commissione di valutazione appositamente nominata</w:t>
      </w:r>
      <w:r w:rsidR="0065129C" w:rsidRPr="00231420">
        <w:rPr>
          <w:rFonts w:ascii="Times New Roman" w:hAnsi="Times New Roman"/>
          <w:sz w:val="24"/>
          <w:szCs w:val="24"/>
        </w:rPr>
        <w:t>.</w:t>
      </w:r>
    </w:p>
    <w:p w:rsidR="00EF5ADA" w:rsidRPr="00231420" w:rsidRDefault="00EF5ADA" w:rsidP="0067176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1420">
        <w:rPr>
          <w:rFonts w:ascii="Times New Roman" w:hAnsi="Times New Roman"/>
          <w:b/>
          <w:sz w:val="24"/>
          <w:szCs w:val="24"/>
          <w:u w:val="single"/>
        </w:rPr>
        <w:t>Criterio di pertinenza</w:t>
      </w:r>
    </w:p>
    <w:p w:rsidR="00EF5ADA" w:rsidRDefault="00EF5ADA" w:rsidP="00671762">
      <w:pPr>
        <w:pStyle w:val="Paragrafoelenco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>I costi ammissibili devono essere strettamente connessi all’operazione approvata, ovvero riferirsi a operazioni riconducibili alle attività ammissibili previste dal progetto approvato.</w:t>
      </w:r>
    </w:p>
    <w:p w:rsidR="00480A77" w:rsidRPr="00231420" w:rsidRDefault="00480A77" w:rsidP="00671762">
      <w:pPr>
        <w:pStyle w:val="Paragrafoelenco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F5ADA" w:rsidRPr="00480A77" w:rsidRDefault="00EF5ADA" w:rsidP="00480A7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0A77">
        <w:rPr>
          <w:rFonts w:ascii="Times New Roman" w:hAnsi="Times New Roman"/>
          <w:b/>
          <w:sz w:val="24"/>
          <w:szCs w:val="24"/>
          <w:u w:val="single"/>
        </w:rPr>
        <w:t>Criterio della congruità</w:t>
      </w:r>
    </w:p>
    <w:p w:rsidR="00BC71C5" w:rsidRDefault="00BC71C5" w:rsidP="00671762">
      <w:pPr>
        <w:pStyle w:val="Paragrafoelenco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 xml:space="preserve">La congruità si stabilisce in riferimento al costo medio di mercato del bene o servizio acquisito per gli stessi scopi nello stesso periodo di tempo. Eventuali scostamenti da tale valore di riferimento devono essere debitamente motivati e sono comunque soggetti a valutazione in sede di istruttoria e di controllo. </w:t>
      </w:r>
    </w:p>
    <w:p w:rsidR="00480A77" w:rsidRPr="00231420" w:rsidRDefault="00480A77" w:rsidP="00671762">
      <w:pPr>
        <w:pStyle w:val="Paragrafoelenco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F5ADA" w:rsidRPr="00231420" w:rsidRDefault="00EF5ADA" w:rsidP="0067176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b/>
          <w:sz w:val="24"/>
          <w:szCs w:val="24"/>
          <w:u w:val="single"/>
        </w:rPr>
        <w:t>Criterio della coerenza</w:t>
      </w:r>
    </w:p>
    <w:p w:rsidR="00EF5ADA" w:rsidRPr="00231420" w:rsidRDefault="00EF5ADA" w:rsidP="00671762">
      <w:pPr>
        <w:pStyle w:val="Paragrafoelenco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>L’ammissibilità dei costi viene valutata anche secondo il criterio di coerenza interna</w:t>
      </w:r>
      <w:r w:rsidR="00BC71C5" w:rsidRPr="00231420">
        <w:rPr>
          <w:rFonts w:ascii="Times New Roman" w:hAnsi="Times New Roman"/>
          <w:sz w:val="24"/>
          <w:szCs w:val="24"/>
        </w:rPr>
        <w:t xml:space="preserve"> </w:t>
      </w:r>
      <w:r w:rsidRPr="00231420">
        <w:rPr>
          <w:rFonts w:ascii="Times New Roman" w:hAnsi="Times New Roman"/>
          <w:sz w:val="24"/>
          <w:szCs w:val="24"/>
        </w:rPr>
        <w:t>e contabile relativamente alle attività previste nel progetto.</w:t>
      </w:r>
    </w:p>
    <w:p w:rsidR="00BC71C5" w:rsidRPr="00231420" w:rsidRDefault="00BC71C5" w:rsidP="00671762">
      <w:pPr>
        <w:pStyle w:val="Paragrafoelenco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F5ADA" w:rsidRPr="00231420" w:rsidRDefault="00EF5ADA" w:rsidP="0067176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1420">
        <w:rPr>
          <w:rFonts w:ascii="Times New Roman" w:hAnsi="Times New Roman"/>
          <w:b/>
          <w:sz w:val="24"/>
          <w:szCs w:val="24"/>
          <w:u w:val="single"/>
        </w:rPr>
        <w:t>Criterio del costo netto</w:t>
      </w:r>
    </w:p>
    <w:p w:rsidR="00EF5ADA" w:rsidRPr="00231420" w:rsidRDefault="00EF5ADA" w:rsidP="00671762">
      <w:pPr>
        <w:pStyle w:val="Paragrafoelenco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>Il costo riconoscibile si ottiene sottraendo dalla somma delle spese accertate eventuali detrazioni di spesa (sconti</w:t>
      </w:r>
      <w:r w:rsidR="00671762" w:rsidRPr="00231420">
        <w:rPr>
          <w:rFonts w:ascii="Times New Roman" w:hAnsi="Times New Roman"/>
          <w:sz w:val="24"/>
          <w:szCs w:val="24"/>
        </w:rPr>
        <w:t xml:space="preserve">, abbuoni </w:t>
      </w:r>
      <w:r w:rsidRPr="00231420">
        <w:rPr>
          <w:rFonts w:ascii="Times New Roman" w:hAnsi="Times New Roman"/>
          <w:sz w:val="24"/>
          <w:szCs w:val="24"/>
        </w:rPr>
        <w:t>o simili).</w:t>
      </w:r>
    </w:p>
    <w:p w:rsidR="0054299C" w:rsidRPr="00231420" w:rsidRDefault="00EF5ADA" w:rsidP="00EF5ADA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>N</w:t>
      </w:r>
      <w:r w:rsidRPr="00231420">
        <w:rPr>
          <w:rFonts w:ascii="Times New Roman" w:hAnsi="Times New Roman"/>
          <w:b/>
          <w:bCs/>
          <w:sz w:val="24"/>
          <w:szCs w:val="24"/>
        </w:rPr>
        <w:t xml:space="preserve">on sono ammissibili </w:t>
      </w:r>
      <w:r w:rsidRPr="00231420">
        <w:rPr>
          <w:rFonts w:ascii="Times New Roman" w:hAnsi="Times New Roman"/>
          <w:sz w:val="24"/>
          <w:szCs w:val="24"/>
        </w:rPr>
        <w:t>in ogni caso i seguenti costi:</w:t>
      </w:r>
    </w:p>
    <w:p w:rsidR="00480A77" w:rsidRPr="00022A3B" w:rsidRDefault="00480A77" w:rsidP="00480A7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 w:rsidRPr="00022A3B">
        <w:rPr>
          <w:rFonts w:ascii="Times New Roman" w:hAnsi="Times New Roman"/>
          <w:sz w:val="24"/>
          <w:szCs w:val="24"/>
        </w:rPr>
        <w:t xml:space="preserve">I.V.A, nel caso in cui tale imposta risulti trasferibile in sede di presentazione della dichiarazione periodica. (In tutti gli altri casi in cui tale imposta non sia trasferibile i costi ammissibili sono comprensivi di I.V.A, come nel caso di soggetti pubblici, fra cui università statali, enti pubblici di ricerca ecc.); </w:t>
      </w:r>
    </w:p>
    <w:p w:rsidR="0054299C" w:rsidRPr="0054299C" w:rsidRDefault="00480A77" w:rsidP="00480A7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i/>
          <w:iCs/>
          <w:color w:val="FF0000"/>
        </w:rPr>
      </w:pPr>
      <w:r w:rsidRPr="00022A3B">
        <w:rPr>
          <w:rFonts w:ascii="Times New Roman" w:hAnsi="Times New Roman"/>
          <w:bCs/>
          <w:sz w:val="24"/>
          <w:szCs w:val="24"/>
        </w:rPr>
        <w:t>l’acquisto di mobili, attrezzature, veicoli, infrastrutture, beni immobili e</w:t>
      </w:r>
      <w:r w:rsidRPr="00022A3B">
        <w:rPr>
          <w:rFonts w:ascii="Times New Roman" w:hAnsi="Times New Roman"/>
          <w:sz w:val="24"/>
          <w:szCs w:val="24"/>
        </w:rPr>
        <w:t xml:space="preserve"> terreni</w:t>
      </w:r>
      <w:r w:rsidRPr="00022A3B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EF5ADA" w:rsidRPr="00231420" w:rsidRDefault="00EF5ADA" w:rsidP="00EF5AD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>gli interessi passivi;</w:t>
      </w:r>
    </w:p>
    <w:p w:rsidR="00EF5ADA" w:rsidRPr="00231420" w:rsidRDefault="00EF5ADA" w:rsidP="00EF5AD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>le ammende, penali e spese per controversie legali;</w:t>
      </w:r>
    </w:p>
    <w:p w:rsidR="00EF5ADA" w:rsidRPr="00231420" w:rsidRDefault="00EF5ADA" w:rsidP="00EF5AD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 xml:space="preserve">gli oneri finanziari: </w:t>
      </w:r>
      <w:r w:rsidRPr="00231420">
        <w:rPr>
          <w:rFonts w:ascii="Times New Roman" w:hAnsi="Times New Roman"/>
          <w:iCs/>
          <w:sz w:val="24"/>
          <w:szCs w:val="24"/>
        </w:rPr>
        <w:t>gli interessi debitori, le commissioni per operazioni finanziarie, le perdite di cambio e altri oneri meramente finanziari (art. 3 del D.P.R. n. 196 del 03/10/2008);</w:t>
      </w:r>
    </w:p>
    <w:p w:rsidR="00480A77" w:rsidRPr="00480A77" w:rsidRDefault="00EF5ADA" w:rsidP="00480A7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786"/>
        <w:jc w:val="both"/>
        <w:rPr>
          <w:rFonts w:ascii="Times New Roman" w:hAnsi="Times New Roman"/>
          <w:iCs/>
          <w:sz w:val="24"/>
          <w:szCs w:val="24"/>
        </w:rPr>
      </w:pPr>
      <w:r w:rsidRPr="00231420">
        <w:rPr>
          <w:rFonts w:ascii="Times New Roman" w:hAnsi="Times New Roman"/>
          <w:sz w:val="24"/>
          <w:szCs w:val="24"/>
        </w:rPr>
        <w:t xml:space="preserve">spese di rappresentanza: </w:t>
      </w:r>
      <w:r w:rsidRPr="00231420">
        <w:rPr>
          <w:rFonts w:ascii="Times New Roman" w:hAnsi="Times New Roman"/>
          <w:iCs/>
          <w:sz w:val="24"/>
          <w:szCs w:val="24"/>
        </w:rPr>
        <w:t>sono quelle atte a promuovere l’immagine del beneficiario, ovvero le cessioni a titolo gratuito di beni o servizi</w:t>
      </w:r>
      <w:r w:rsidR="00480A77">
        <w:rPr>
          <w:rFonts w:ascii="Times New Roman" w:hAnsi="Times New Roman"/>
          <w:iCs/>
          <w:sz w:val="24"/>
          <w:szCs w:val="24"/>
        </w:rPr>
        <w:t>.</w:t>
      </w:r>
    </w:p>
    <w:sectPr w:rsidR="00480A77" w:rsidRPr="00480A77" w:rsidSect="00A464E7"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52" w:rsidRDefault="00774552" w:rsidP="00820A27">
      <w:pPr>
        <w:spacing w:after="0" w:line="240" w:lineRule="auto"/>
      </w:pPr>
      <w:r>
        <w:separator/>
      </w:r>
    </w:p>
  </w:endnote>
  <w:endnote w:type="continuationSeparator" w:id="0">
    <w:p w:rsidR="00774552" w:rsidRDefault="00774552" w:rsidP="0082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10" w:rsidRPr="007E3E61" w:rsidRDefault="001D5A10" w:rsidP="00FB6EC9">
    <w:pPr>
      <w:pStyle w:val="Pidipagina"/>
      <w:jc w:val="right"/>
      <w:rPr>
        <w:rFonts w:ascii="Times New Roman" w:hAnsi="Times New Roman"/>
        <w:sz w:val="20"/>
        <w:szCs w:val="20"/>
      </w:rPr>
    </w:pPr>
    <w:r w:rsidRPr="007E3E61">
      <w:rPr>
        <w:rFonts w:ascii="Times New Roman" w:hAnsi="Times New Roman"/>
        <w:sz w:val="20"/>
        <w:szCs w:val="20"/>
      </w:rPr>
      <w:t xml:space="preserve">Pagina </w:t>
    </w:r>
    <w:r w:rsidR="006A7982" w:rsidRPr="007E3E61">
      <w:rPr>
        <w:rFonts w:ascii="Times New Roman" w:hAnsi="Times New Roman"/>
        <w:sz w:val="20"/>
        <w:szCs w:val="20"/>
      </w:rPr>
      <w:fldChar w:fldCharType="begin"/>
    </w:r>
    <w:r w:rsidR="00994D3E" w:rsidRPr="007E3E61">
      <w:rPr>
        <w:rFonts w:ascii="Times New Roman" w:hAnsi="Times New Roman"/>
        <w:sz w:val="20"/>
        <w:szCs w:val="20"/>
      </w:rPr>
      <w:instrText xml:space="preserve"> PAGE   \* MERGEFORMAT </w:instrText>
    </w:r>
    <w:r w:rsidR="006A7982" w:rsidRPr="007E3E61">
      <w:rPr>
        <w:rFonts w:ascii="Times New Roman" w:hAnsi="Times New Roman"/>
        <w:sz w:val="20"/>
        <w:szCs w:val="20"/>
      </w:rPr>
      <w:fldChar w:fldCharType="separate"/>
    </w:r>
    <w:r w:rsidR="002F6A1F">
      <w:rPr>
        <w:rFonts w:ascii="Times New Roman" w:hAnsi="Times New Roman"/>
        <w:noProof/>
        <w:sz w:val="20"/>
        <w:szCs w:val="20"/>
      </w:rPr>
      <w:t>5</w:t>
    </w:r>
    <w:r w:rsidR="006A7982" w:rsidRPr="007E3E61">
      <w:rPr>
        <w:rFonts w:ascii="Times New Roman" w:hAnsi="Times New Roman"/>
        <w:sz w:val="20"/>
        <w:szCs w:val="20"/>
      </w:rPr>
      <w:fldChar w:fldCharType="end"/>
    </w:r>
  </w:p>
  <w:p w:rsidR="001D5A10" w:rsidRPr="005E6107" w:rsidRDefault="001D5A10" w:rsidP="00FB6EC9">
    <w:pPr>
      <w:pStyle w:val="Pidipaginadispari"/>
      <w:spacing w:after="0" w:line="240" w:lineRule="auto"/>
      <w:jc w:val="center"/>
      <w:rPr>
        <w:rFonts w:ascii="Times New Roman" w:hAnsi="Times New Roman"/>
      </w:rPr>
    </w:pPr>
    <w:r w:rsidRPr="005E6107">
      <w:rPr>
        <w:rFonts w:ascii="Times New Roman" w:hAnsi="Times New Roman"/>
      </w:rPr>
      <w:t>MINISTERO DELLE POLITICHE AGRICOLE, ALIMENTARI</w:t>
    </w:r>
    <w:r w:rsidR="00E319E7">
      <w:rPr>
        <w:rFonts w:ascii="Times New Roman" w:hAnsi="Times New Roman"/>
      </w:rPr>
      <w:t>,</w:t>
    </w:r>
    <w:r w:rsidRPr="005E6107">
      <w:rPr>
        <w:rFonts w:ascii="Times New Roman" w:hAnsi="Times New Roman"/>
      </w:rPr>
      <w:t xml:space="preserve"> FORESTALI</w:t>
    </w:r>
    <w:r w:rsidR="00E319E7">
      <w:rPr>
        <w:rFonts w:ascii="Times New Roman" w:hAnsi="Times New Roman"/>
      </w:rPr>
      <w:t xml:space="preserve">  E DEL TURISMO</w:t>
    </w:r>
  </w:p>
  <w:p w:rsidR="001D5A10" w:rsidRPr="005E6107" w:rsidRDefault="001D5A10" w:rsidP="00FB6EC9">
    <w:pPr>
      <w:pStyle w:val="Pidipaginadispari"/>
      <w:spacing w:after="0" w:line="240" w:lineRule="auto"/>
      <w:jc w:val="center"/>
      <w:rPr>
        <w:rFonts w:ascii="Times New Roman" w:hAnsi="Times New Roman"/>
      </w:rPr>
    </w:pPr>
    <w:r w:rsidRPr="005E6107">
      <w:rPr>
        <w:rFonts w:ascii="Times New Roman" w:hAnsi="Times New Roman"/>
      </w:rPr>
      <w:t>Dipartimento delle politiche europee e internazionali e dello sviluppo rurale</w:t>
    </w:r>
  </w:p>
  <w:p w:rsidR="001D5A10" w:rsidRPr="005E6107" w:rsidRDefault="001D5A10" w:rsidP="00FB6EC9">
    <w:pPr>
      <w:pStyle w:val="Pidipaginadispari"/>
      <w:spacing w:after="0" w:line="240" w:lineRule="auto"/>
      <w:jc w:val="center"/>
      <w:rPr>
        <w:rFonts w:ascii="Times New Roman" w:hAnsi="Times New Roman"/>
      </w:rPr>
    </w:pPr>
    <w:r w:rsidRPr="005E6107">
      <w:rPr>
        <w:rFonts w:ascii="Times New Roman" w:hAnsi="Times New Roman"/>
      </w:rPr>
      <w:t>Direzione generale dello sviluppo rurale</w:t>
    </w:r>
  </w:p>
  <w:p w:rsidR="001D5A10" w:rsidRDefault="001D5A10">
    <w:pPr>
      <w:pStyle w:val="Pidipagina"/>
      <w:jc w:val="right"/>
    </w:pPr>
  </w:p>
  <w:p w:rsidR="001D5A10" w:rsidRDefault="001D5A10">
    <w:pPr>
      <w:pStyle w:val="Pidipagina"/>
      <w:jc w:val="right"/>
    </w:pPr>
  </w:p>
  <w:p w:rsidR="001D5A10" w:rsidRPr="00C254A3" w:rsidRDefault="006A7982" w:rsidP="00C254A3">
    <w:pPr>
      <w:pStyle w:val="Pidipagina"/>
      <w:rPr>
        <w:rFonts w:ascii="Times New Roman" w:hAnsi="Times New Roman"/>
        <w:sz w:val="12"/>
        <w:szCs w:val="12"/>
      </w:rPr>
    </w:pPr>
    <w:fldSimple w:instr=" FILENAME  \* Lower  \* MERGEFORMAT ">
      <w:r w:rsidR="001F3F3A" w:rsidRPr="001F3F3A">
        <w:rPr>
          <w:rFonts w:ascii="Times New Roman" w:hAnsi="Times New Roman"/>
          <w:noProof/>
          <w:sz w:val="12"/>
          <w:szCs w:val="12"/>
        </w:rPr>
        <w:t>allegato_2_costi ammissibili</w:t>
      </w:r>
    </w:fldSimple>
  </w:p>
  <w:p w:rsidR="001D5A10" w:rsidRDefault="001D5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52" w:rsidRDefault="00774552" w:rsidP="00820A27">
      <w:pPr>
        <w:spacing w:after="0" w:line="240" w:lineRule="auto"/>
      </w:pPr>
      <w:r>
        <w:separator/>
      </w:r>
    </w:p>
  </w:footnote>
  <w:footnote w:type="continuationSeparator" w:id="0">
    <w:p w:rsidR="00774552" w:rsidRDefault="00774552" w:rsidP="0082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07" w:rsidRPr="008474AE" w:rsidRDefault="00765581" w:rsidP="006B4E5F">
    <w:pPr>
      <w:pStyle w:val="Nessunaspaziatura"/>
      <w:tabs>
        <w:tab w:val="left" w:pos="4213"/>
        <w:tab w:val="right" w:pos="9214"/>
      </w:tabs>
      <w:ind w:left="709"/>
      <w:jc w:val="right"/>
      <w:rPr>
        <w:rFonts w:ascii="Times New Roman" w:hAnsi="Times New Roman"/>
        <w:sz w:val="22"/>
        <w:szCs w:val="22"/>
      </w:rPr>
    </w:pPr>
    <w:r>
      <w:rPr>
        <w:noProof/>
        <w:lang w:eastAsia="it-IT"/>
      </w:rPr>
      <w:drawing>
        <wp:inline distT="0" distB="0" distL="0" distR="0">
          <wp:extent cx="607060" cy="648335"/>
          <wp:effectExtent l="19050" t="0" r="2540" b="0"/>
          <wp:docPr id="1" name="Immagine 1" descr="repubblica_italian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_italian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792992" cy="792992"/>
          <wp:effectExtent l="19050" t="0" r="7108" b="0"/>
          <wp:docPr id="2" name="Immagine 3" descr="logo_mipaa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mipaaf.b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2891" cy="792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21385" cy="614045"/>
          <wp:effectExtent l="19050" t="0" r="0" b="0"/>
          <wp:docPr id="3" name="Immagine 5" descr="Flag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Flag_of_Italy_sv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E5F">
      <w:t xml:space="preserve">              </w:t>
    </w:r>
    <w:fldSimple w:instr=" FILENAME   \* MERGEFORMAT ">
      <w:r w:rsidR="00077F27" w:rsidRPr="008474AE">
        <w:rPr>
          <w:rFonts w:ascii="Times New Roman" w:hAnsi="Times New Roman"/>
          <w:noProof/>
          <w:sz w:val="22"/>
          <w:szCs w:val="22"/>
        </w:rPr>
        <w:t xml:space="preserve">Allegato_2_Costi ammissibili </w:t>
      </w:r>
    </w:fldSimple>
  </w:p>
  <w:p w:rsidR="005E6107" w:rsidRPr="005E6107" w:rsidRDefault="005E6107" w:rsidP="005E6107">
    <w:pPr>
      <w:pStyle w:val="Pidipaginadispari"/>
      <w:pBdr>
        <w:top w:val="single" w:sz="4" w:space="0" w:color="4F81BD"/>
      </w:pBdr>
      <w:spacing w:after="0" w:line="240" w:lineRule="auto"/>
      <w:rPr>
        <w:rFonts w:ascii="Times New Roman" w:hAnsi="Times New Roman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C2"/>
    <w:multiLevelType w:val="hybridMultilevel"/>
    <w:tmpl w:val="B07AB9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85429E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B6F17"/>
    <w:multiLevelType w:val="hybridMultilevel"/>
    <w:tmpl w:val="B07AB9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85429E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07146"/>
    <w:multiLevelType w:val="hybridMultilevel"/>
    <w:tmpl w:val="88C0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3383"/>
    <w:multiLevelType w:val="hybridMultilevel"/>
    <w:tmpl w:val="0F34B92A"/>
    <w:lvl w:ilvl="0" w:tplc="F90CFFA2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  <w:color w:val="auto"/>
        <w:kern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606B9"/>
    <w:multiLevelType w:val="hybridMultilevel"/>
    <w:tmpl w:val="B07AB9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85429E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821927"/>
    <w:multiLevelType w:val="hybridMultilevel"/>
    <w:tmpl w:val="52DA0EF0"/>
    <w:lvl w:ilvl="0" w:tplc="04100013">
      <w:start w:val="1"/>
      <w:numFmt w:val="upperRoman"/>
      <w:lvlText w:val="%1."/>
      <w:lvlJc w:val="righ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12073F1E"/>
    <w:multiLevelType w:val="hybridMultilevel"/>
    <w:tmpl w:val="D9F2A54E"/>
    <w:lvl w:ilvl="0" w:tplc="04100013">
      <w:start w:val="1"/>
      <w:numFmt w:val="upperRoman"/>
      <w:lvlText w:val="%1."/>
      <w:lvlJc w:val="righ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2B090C"/>
    <w:multiLevelType w:val="hybridMultilevel"/>
    <w:tmpl w:val="7FE2A6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0A2"/>
    <w:multiLevelType w:val="hybridMultilevel"/>
    <w:tmpl w:val="C936934C"/>
    <w:lvl w:ilvl="0" w:tplc="591E6E7C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980009B"/>
    <w:multiLevelType w:val="hybridMultilevel"/>
    <w:tmpl w:val="E66E8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B60ED"/>
    <w:multiLevelType w:val="hybridMultilevel"/>
    <w:tmpl w:val="740ED70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7">
      <w:start w:val="1"/>
      <w:numFmt w:val="lowerLetter"/>
      <w:lvlText w:val="%3)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8C173C"/>
    <w:multiLevelType w:val="hybridMultilevel"/>
    <w:tmpl w:val="6A14F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33AF8"/>
    <w:multiLevelType w:val="hybridMultilevel"/>
    <w:tmpl w:val="4F746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A43D3"/>
    <w:multiLevelType w:val="hybridMultilevel"/>
    <w:tmpl w:val="8CA4E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1E6F"/>
    <w:multiLevelType w:val="hybridMultilevel"/>
    <w:tmpl w:val="9468CD02"/>
    <w:lvl w:ilvl="0" w:tplc="3AFEA926">
      <w:start w:val="1"/>
      <w:numFmt w:val="upperLetter"/>
      <w:lvlText w:val="%1)"/>
      <w:lvlJc w:val="left"/>
      <w:pPr>
        <w:tabs>
          <w:tab w:val="num" w:pos="1626"/>
        </w:tabs>
        <w:ind w:left="2340" w:hanging="360"/>
      </w:pPr>
      <w:rPr>
        <w:rFonts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A698B"/>
    <w:multiLevelType w:val="hybridMultilevel"/>
    <w:tmpl w:val="A57E7C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838E8"/>
    <w:multiLevelType w:val="hybridMultilevel"/>
    <w:tmpl w:val="93B4ECA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5429E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E306E"/>
    <w:multiLevelType w:val="hybridMultilevel"/>
    <w:tmpl w:val="4FA02F3A"/>
    <w:lvl w:ilvl="0" w:tplc="1E564B82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>
    <w:nsid w:val="3F9E4A65"/>
    <w:multiLevelType w:val="hybridMultilevel"/>
    <w:tmpl w:val="6EF88CA4"/>
    <w:lvl w:ilvl="0" w:tplc="1166F8B2">
      <w:start w:val="1"/>
      <w:numFmt w:val="decimal"/>
      <w:lvlText w:val="%1."/>
      <w:lvlJc w:val="left"/>
      <w:pPr>
        <w:ind w:left="845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7319B"/>
    <w:multiLevelType w:val="hybridMultilevel"/>
    <w:tmpl w:val="678860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BB51FC"/>
    <w:multiLevelType w:val="hybridMultilevel"/>
    <w:tmpl w:val="0E0C6906"/>
    <w:lvl w:ilvl="0" w:tplc="B4EC5B1E">
      <w:start w:val="1"/>
      <w:numFmt w:val="upperLetter"/>
      <w:lvlText w:val="%1)"/>
      <w:lvlJc w:val="left"/>
      <w:pPr>
        <w:tabs>
          <w:tab w:val="num" w:pos="1626"/>
        </w:tabs>
        <w:ind w:left="2340" w:hanging="360"/>
      </w:pPr>
      <w:rPr>
        <w:rFonts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E4A3E"/>
    <w:multiLevelType w:val="hybridMultilevel"/>
    <w:tmpl w:val="D54C74EA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4CBD21F5"/>
    <w:multiLevelType w:val="hybridMultilevel"/>
    <w:tmpl w:val="C448A7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27D25"/>
    <w:multiLevelType w:val="hybridMultilevel"/>
    <w:tmpl w:val="F3D82A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5429E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AD55B1"/>
    <w:multiLevelType w:val="hybridMultilevel"/>
    <w:tmpl w:val="4B928F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ind w:left="2148" w:hanging="360"/>
      </w:pPr>
      <w:rPr>
        <w:rFonts w:hint="default"/>
      </w:rPr>
    </w:lvl>
    <w:lvl w:ilvl="2" w:tplc="85429E50">
      <w:start w:val="1"/>
      <w:numFmt w:val="lowerLetter"/>
      <w:lvlText w:val="%3)"/>
      <w:lvlJc w:val="left"/>
      <w:pPr>
        <w:ind w:left="286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626DC0"/>
    <w:multiLevelType w:val="hybridMultilevel"/>
    <w:tmpl w:val="3794A6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5429E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27419"/>
    <w:multiLevelType w:val="hybridMultilevel"/>
    <w:tmpl w:val="A57E7C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9501B"/>
    <w:multiLevelType w:val="hybridMultilevel"/>
    <w:tmpl w:val="59E29D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D44F0"/>
    <w:multiLevelType w:val="hybridMultilevel"/>
    <w:tmpl w:val="F3ACC9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6B248C"/>
    <w:multiLevelType w:val="hybridMultilevel"/>
    <w:tmpl w:val="7910DBD6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5DC93A67"/>
    <w:multiLevelType w:val="hybridMultilevel"/>
    <w:tmpl w:val="B07AB9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85429E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977AEB"/>
    <w:multiLevelType w:val="hybridMultilevel"/>
    <w:tmpl w:val="67D4B8E0"/>
    <w:lvl w:ilvl="0" w:tplc="54221B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C62E62"/>
    <w:multiLevelType w:val="hybridMultilevel"/>
    <w:tmpl w:val="6324D3FA"/>
    <w:lvl w:ilvl="0" w:tplc="3124B6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2223B"/>
    <w:multiLevelType w:val="hybridMultilevel"/>
    <w:tmpl w:val="21F286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C10455"/>
    <w:multiLevelType w:val="hybridMultilevel"/>
    <w:tmpl w:val="B07AB9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85429E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BD52C0"/>
    <w:multiLevelType w:val="hybridMultilevel"/>
    <w:tmpl w:val="278813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B6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B4EC5B1E">
      <w:start w:val="1"/>
      <w:numFmt w:val="upperLetter"/>
      <w:lvlText w:val="%3)"/>
      <w:lvlJc w:val="left"/>
      <w:pPr>
        <w:tabs>
          <w:tab w:val="num" w:pos="1626"/>
        </w:tabs>
        <w:ind w:left="2340" w:hanging="360"/>
      </w:pPr>
      <w:rPr>
        <w:rFonts w:cs="Times New Roman" w:hint="default"/>
        <w:color w:val="auto"/>
        <w:sz w:val="24"/>
        <w:szCs w:val="24"/>
      </w:rPr>
    </w:lvl>
    <w:lvl w:ilvl="3" w:tplc="2DDA59EC">
      <w:start w:val="1"/>
      <w:numFmt w:val="upperLetter"/>
      <w:lvlText w:val="%41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EE78BD"/>
    <w:multiLevelType w:val="hybridMultilevel"/>
    <w:tmpl w:val="8AD0E3E4"/>
    <w:lvl w:ilvl="0" w:tplc="595ECE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E50E1"/>
    <w:multiLevelType w:val="hybridMultilevel"/>
    <w:tmpl w:val="9FDC356E"/>
    <w:lvl w:ilvl="0" w:tplc="365606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32534"/>
    <w:multiLevelType w:val="hybridMultilevel"/>
    <w:tmpl w:val="DD440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A00FC0"/>
    <w:multiLevelType w:val="hybridMultilevel"/>
    <w:tmpl w:val="E006D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22FEC"/>
    <w:multiLevelType w:val="hybridMultilevel"/>
    <w:tmpl w:val="313C22B8"/>
    <w:lvl w:ilvl="0" w:tplc="80C48404">
      <w:start w:val="1"/>
      <w:numFmt w:val="decimal"/>
      <w:lvlText w:val="%1."/>
      <w:lvlJc w:val="left"/>
      <w:pPr>
        <w:ind w:left="845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65" w:hanging="360"/>
      </w:pPr>
    </w:lvl>
    <w:lvl w:ilvl="2" w:tplc="0410001B" w:tentative="1">
      <w:start w:val="1"/>
      <w:numFmt w:val="lowerRoman"/>
      <w:lvlText w:val="%3."/>
      <w:lvlJc w:val="right"/>
      <w:pPr>
        <w:ind w:left="2285" w:hanging="180"/>
      </w:pPr>
    </w:lvl>
    <w:lvl w:ilvl="3" w:tplc="0410000F" w:tentative="1">
      <w:start w:val="1"/>
      <w:numFmt w:val="decimal"/>
      <w:lvlText w:val="%4."/>
      <w:lvlJc w:val="left"/>
      <w:pPr>
        <w:ind w:left="3005" w:hanging="360"/>
      </w:pPr>
    </w:lvl>
    <w:lvl w:ilvl="4" w:tplc="04100019" w:tentative="1">
      <w:start w:val="1"/>
      <w:numFmt w:val="lowerLetter"/>
      <w:lvlText w:val="%5."/>
      <w:lvlJc w:val="left"/>
      <w:pPr>
        <w:ind w:left="3725" w:hanging="360"/>
      </w:pPr>
    </w:lvl>
    <w:lvl w:ilvl="5" w:tplc="0410001B" w:tentative="1">
      <w:start w:val="1"/>
      <w:numFmt w:val="lowerRoman"/>
      <w:lvlText w:val="%6."/>
      <w:lvlJc w:val="right"/>
      <w:pPr>
        <w:ind w:left="4445" w:hanging="180"/>
      </w:pPr>
    </w:lvl>
    <w:lvl w:ilvl="6" w:tplc="0410000F" w:tentative="1">
      <w:start w:val="1"/>
      <w:numFmt w:val="decimal"/>
      <w:lvlText w:val="%7."/>
      <w:lvlJc w:val="left"/>
      <w:pPr>
        <w:ind w:left="5165" w:hanging="360"/>
      </w:pPr>
    </w:lvl>
    <w:lvl w:ilvl="7" w:tplc="04100019" w:tentative="1">
      <w:start w:val="1"/>
      <w:numFmt w:val="lowerLetter"/>
      <w:lvlText w:val="%8."/>
      <w:lvlJc w:val="left"/>
      <w:pPr>
        <w:ind w:left="5885" w:hanging="360"/>
      </w:pPr>
    </w:lvl>
    <w:lvl w:ilvl="8" w:tplc="0410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39"/>
  </w:num>
  <w:num w:numId="2">
    <w:abstractNumId w:val="21"/>
  </w:num>
  <w:num w:numId="3">
    <w:abstractNumId w:val="24"/>
  </w:num>
  <w:num w:numId="4">
    <w:abstractNumId w:val="5"/>
  </w:num>
  <w:num w:numId="5">
    <w:abstractNumId w:val="0"/>
  </w:num>
  <w:num w:numId="6">
    <w:abstractNumId w:val="1"/>
  </w:num>
  <w:num w:numId="7">
    <w:abstractNumId w:val="23"/>
  </w:num>
  <w:num w:numId="8">
    <w:abstractNumId w:val="29"/>
  </w:num>
  <w:num w:numId="9">
    <w:abstractNumId w:val="11"/>
  </w:num>
  <w:num w:numId="10">
    <w:abstractNumId w:val="34"/>
  </w:num>
  <w:num w:numId="11">
    <w:abstractNumId w:val="30"/>
  </w:num>
  <w:num w:numId="12">
    <w:abstractNumId w:val="15"/>
  </w:num>
  <w:num w:numId="13">
    <w:abstractNumId w:val="19"/>
  </w:num>
  <w:num w:numId="14">
    <w:abstractNumId w:val="9"/>
  </w:num>
  <w:num w:numId="15">
    <w:abstractNumId w:val="10"/>
  </w:num>
  <w:num w:numId="16">
    <w:abstractNumId w:val="36"/>
  </w:num>
  <w:num w:numId="17">
    <w:abstractNumId w:val="27"/>
  </w:num>
  <w:num w:numId="18">
    <w:abstractNumId w:val="35"/>
  </w:num>
  <w:num w:numId="19">
    <w:abstractNumId w:val="16"/>
  </w:num>
  <w:num w:numId="20">
    <w:abstractNumId w:val="32"/>
  </w:num>
  <w:num w:numId="21">
    <w:abstractNumId w:val="31"/>
  </w:num>
  <w:num w:numId="22">
    <w:abstractNumId w:val="4"/>
  </w:num>
  <w:num w:numId="23">
    <w:abstractNumId w:val="13"/>
  </w:num>
  <w:num w:numId="24">
    <w:abstractNumId w:val="25"/>
  </w:num>
  <w:num w:numId="25">
    <w:abstractNumId w:val="26"/>
  </w:num>
  <w:num w:numId="26">
    <w:abstractNumId w:val="38"/>
  </w:num>
  <w:num w:numId="27">
    <w:abstractNumId w:val="6"/>
  </w:num>
  <w:num w:numId="28">
    <w:abstractNumId w:val="7"/>
  </w:num>
  <w:num w:numId="29">
    <w:abstractNumId w:val="28"/>
  </w:num>
  <w:num w:numId="30">
    <w:abstractNumId w:val="12"/>
  </w:num>
  <w:num w:numId="31">
    <w:abstractNumId w:val="3"/>
  </w:num>
  <w:num w:numId="32">
    <w:abstractNumId w:val="37"/>
  </w:num>
  <w:num w:numId="33">
    <w:abstractNumId w:val="2"/>
  </w:num>
  <w:num w:numId="34">
    <w:abstractNumId w:val="33"/>
  </w:num>
  <w:num w:numId="35">
    <w:abstractNumId w:val="14"/>
  </w:num>
  <w:num w:numId="36">
    <w:abstractNumId w:val="17"/>
  </w:num>
  <w:num w:numId="37">
    <w:abstractNumId w:val="40"/>
  </w:num>
  <w:num w:numId="38">
    <w:abstractNumId w:val="20"/>
  </w:num>
  <w:num w:numId="39">
    <w:abstractNumId w:val="18"/>
  </w:num>
  <w:num w:numId="40">
    <w:abstractNumId w:val="22"/>
  </w:num>
  <w:num w:numId="41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7682"/>
    <w:rsid w:val="00002587"/>
    <w:rsid w:val="0000563B"/>
    <w:rsid w:val="00005C49"/>
    <w:rsid w:val="00006D2D"/>
    <w:rsid w:val="0001528A"/>
    <w:rsid w:val="00017679"/>
    <w:rsid w:val="0002014A"/>
    <w:rsid w:val="00022A3B"/>
    <w:rsid w:val="00024004"/>
    <w:rsid w:val="000266C1"/>
    <w:rsid w:val="00030D36"/>
    <w:rsid w:val="00032116"/>
    <w:rsid w:val="00033909"/>
    <w:rsid w:val="00037A08"/>
    <w:rsid w:val="00040BED"/>
    <w:rsid w:val="00046D5F"/>
    <w:rsid w:val="000514D5"/>
    <w:rsid w:val="00052373"/>
    <w:rsid w:val="00053ADA"/>
    <w:rsid w:val="000630B2"/>
    <w:rsid w:val="00065E8B"/>
    <w:rsid w:val="00067089"/>
    <w:rsid w:val="00067F57"/>
    <w:rsid w:val="0007204B"/>
    <w:rsid w:val="00076786"/>
    <w:rsid w:val="00077F27"/>
    <w:rsid w:val="00087148"/>
    <w:rsid w:val="0009010C"/>
    <w:rsid w:val="000932E3"/>
    <w:rsid w:val="000A17B5"/>
    <w:rsid w:val="000A34C8"/>
    <w:rsid w:val="000A60D7"/>
    <w:rsid w:val="000B041C"/>
    <w:rsid w:val="000C18BD"/>
    <w:rsid w:val="000C1D3A"/>
    <w:rsid w:val="000C22B7"/>
    <w:rsid w:val="000C50E8"/>
    <w:rsid w:val="000D40BE"/>
    <w:rsid w:val="000D4A31"/>
    <w:rsid w:val="000E2499"/>
    <w:rsid w:val="000E2857"/>
    <w:rsid w:val="000F2371"/>
    <w:rsid w:val="00101F39"/>
    <w:rsid w:val="00105F4F"/>
    <w:rsid w:val="001227CB"/>
    <w:rsid w:val="001307A9"/>
    <w:rsid w:val="00132095"/>
    <w:rsid w:val="00140CE6"/>
    <w:rsid w:val="001412C9"/>
    <w:rsid w:val="00143567"/>
    <w:rsid w:val="00144B8E"/>
    <w:rsid w:val="00147148"/>
    <w:rsid w:val="00151AA4"/>
    <w:rsid w:val="00156B76"/>
    <w:rsid w:val="00157BD6"/>
    <w:rsid w:val="00164943"/>
    <w:rsid w:val="0016506A"/>
    <w:rsid w:val="001709BE"/>
    <w:rsid w:val="00170FEC"/>
    <w:rsid w:val="00172FB8"/>
    <w:rsid w:val="00173EA7"/>
    <w:rsid w:val="00176020"/>
    <w:rsid w:val="0017715D"/>
    <w:rsid w:val="0018403F"/>
    <w:rsid w:val="0018409B"/>
    <w:rsid w:val="00184599"/>
    <w:rsid w:val="00186436"/>
    <w:rsid w:val="00187D5C"/>
    <w:rsid w:val="001A09C7"/>
    <w:rsid w:val="001A1CC1"/>
    <w:rsid w:val="001A58F5"/>
    <w:rsid w:val="001B60CB"/>
    <w:rsid w:val="001C0CFE"/>
    <w:rsid w:val="001C6C13"/>
    <w:rsid w:val="001C70DA"/>
    <w:rsid w:val="001D4F69"/>
    <w:rsid w:val="001D5133"/>
    <w:rsid w:val="001D5A10"/>
    <w:rsid w:val="001D5A49"/>
    <w:rsid w:val="001D6502"/>
    <w:rsid w:val="001D74AD"/>
    <w:rsid w:val="001E34EA"/>
    <w:rsid w:val="001E3AD3"/>
    <w:rsid w:val="001E4A2D"/>
    <w:rsid w:val="001E59BD"/>
    <w:rsid w:val="001E671A"/>
    <w:rsid w:val="001F2504"/>
    <w:rsid w:val="001F27B7"/>
    <w:rsid w:val="001F3F3A"/>
    <w:rsid w:val="001F484F"/>
    <w:rsid w:val="001F537C"/>
    <w:rsid w:val="001F57A7"/>
    <w:rsid w:val="00202CB1"/>
    <w:rsid w:val="0020674D"/>
    <w:rsid w:val="002069CE"/>
    <w:rsid w:val="00206C69"/>
    <w:rsid w:val="00207E19"/>
    <w:rsid w:val="0021333B"/>
    <w:rsid w:val="00230426"/>
    <w:rsid w:val="00231420"/>
    <w:rsid w:val="00231AFE"/>
    <w:rsid w:val="002367ED"/>
    <w:rsid w:val="00237ED2"/>
    <w:rsid w:val="002410AF"/>
    <w:rsid w:val="0024254B"/>
    <w:rsid w:val="002454F1"/>
    <w:rsid w:val="00250E44"/>
    <w:rsid w:val="00252AA7"/>
    <w:rsid w:val="0026146D"/>
    <w:rsid w:val="00262819"/>
    <w:rsid w:val="00263FBC"/>
    <w:rsid w:val="00271ECC"/>
    <w:rsid w:val="00272767"/>
    <w:rsid w:val="00272B24"/>
    <w:rsid w:val="00276AB2"/>
    <w:rsid w:val="00277BD1"/>
    <w:rsid w:val="00280B21"/>
    <w:rsid w:val="00281D04"/>
    <w:rsid w:val="00285513"/>
    <w:rsid w:val="00291260"/>
    <w:rsid w:val="00292C19"/>
    <w:rsid w:val="00294BD4"/>
    <w:rsid w:val="00296B8A"/>
    <w:rsid w:val="00297340"/>
    <w:rsid w:val="002A1B59"/>
    <w:rsid w:val="002A2207"/>
    <w:rsid w:val="002A235E"/>
    <w:rsid w:val="002B61C5"/>
    <w:rsid w:val="002C07D6"/>
    <w:rsid w:val="002C18E7"/>
    <w:rsid w:val="002D0A8F"/>
    <w:rsid w:val="002D119C"/>
    <w:rsid w:val="002E2FA9"/>
    <w:rsid w:val="002E46E6"/>
    <w:rsid w:val="002E7280"/>
    <w:rsid w:val="002F37B8"/>
    <w:rsid w:val="002F5AE1"/>
    <w:rsid w:val="002F6A1F"/>
    <w:rsid w:val="002F7482"/>
    <w:rsid w:val="00301E75"/>
    <w:rsid w:val="00302EA7"/>
    <w:rsid w:val="00305411"/>
    <w:rsid w:val="00307F9E"/>
    <w:rsid w:val="00313477"/>
    <w:rsid w:val="00314AAA"/>
    <w:rsid w:val="00324E2A"/>
    <w:rsid w:val="00326428"/>
    <w:rsid w:val="003319EB"/>
    <w:rsid w:val="00334FD1"/>
    <w:rsid w:val="00335BA3"/>
    <w:rsid w:val="003417D6"/>
    <w:rsid w:val="00344906"/>
    <w:rsid w:val="003449A5"/>
    <w:rsid w:val="003513AB"/>
    <w:rsid w:val="003539FB"/>
    <w:rsid w:val="0035627D"/>
    <w:rsid w:val="003576CA"/>
    <w:rsid w:val="003661F5"/>
    <w:rsid w:val="00372796"/>
    <w:rsid w:val="003754D5"/>
    <w:rsid w:val="00375FB9"/>
    <w:rsid w:val="003800CB"/>
    <w:rsid w:val="00382C19"/>
    <w:rsid w:val="003868FB"/>
    <w:rsid w:val="00397082"/>
    <w:rsid w:val="00397135"/>
    <w:rsid w:val="003A47E6"/>
    <w:rsid w:val="003A548F"/>
    <w:rsid w:val="003B047F"/>
    <w:rsid w:val="003B3F8D"/>
    <w:rsid w:val="003C1887"/>
    <w:rsid w:val="003C2207"/>
    <w:rsid w:val="003C3996"/>
    <w:rsid w:val="003C5715"/>
    <w:rsid w:val="003D3854"/>
    <w:rsid w:val="003E3F7C"/>
    <w:rsid w:val="003F1680"/>
    <w:rsid w:val="003F6EF7"/>
    <w:rsid w:val="0040245A"/>
    <w:rsid w:val="0040662A"/>
    <w:rsid w:val="00413472"/>
    <w:rsid w:val="00417AE1"/>
    <w:rsid w:val="00421DCB"/>
    <w:rsid w:val="00432D0C"/>
    <w:rsid w:val="004336EA"/>
    <w:rsid w:val="00435109"/>
    <w:rsid w:val="0044350E"/>
    <w:rsid w:val="00446163"/>
    <w:rsid w:val="004516D7"/>
    <w:rsid w:val="00451800"/>
    <w:rsid w:val="00453F60"/>
    <w:rsid w:val="0045484D"/>
    <w:rsid w:val="00456ED2"/>
    <w:rsid w:val="00461014"/>
    <w:rsid w:val="004614AE"/>
    <w:rsid w:val="00475A8A"/>
    <w:rsid w:val="00480A77"/>
    <w:rsid w:val="0048218E"/>
    <w:rsid w:val="004834CD"/>
    <w:rsid w:val="0048693F"/>
    <w:rsid w:val="004929ED"/>
    <w:rsid w:val="004941EA"/>
    <w:rsid w:val="00495C89"/>
    <w:rsid w:val="0049733C"/>
    <w:rsid w:val="004A1FD3"/>
    <w:rsid w:val="004A2061"/>
    <w:rsid w:val="004A4986"/>
    <w:rsid w:val="004A5F88"/>
    <w:rsid w:val="004B0605"/>
    <w:rsid w:val="004B322B"/>
    <w:rsid w:val="004B3EC6"/>
    <w:rsid w:val="004B61C9"/>
    <w:rsid w:val="004B65D0"/>
    <w:rsid w:val="004C0CBA"/>
    <w:rsid w:val="004C1CD4"/>
    <w:rsid w:val="004C423E"/>
    <w:rsid w:val="004D0C42"/>
    <w:rsid w:val="004D7A30"/>
    <w:rsid w:val="004E4877"/>
    <w:rsid w:val="004E52C1"/>
    <w:rsid w:val="004F02E4"/>
    <w:rsid w:val="00501B5C"/>
    <w:rsid w:val="00501CAC"/>
    <w:rsid w:val="005039A2"/>
    <w:rsid w:val="005107A2"/>
    <w:rsid w:val="00510B5E"/>
    <w:rsid w:val="00511D41"/>
    <w:rsid w:val="00513313"/>
    <w:rsid w:val="00515039"/>
    <w:rsid w:val="005150C9"/>
    <w:rsid w:val="00516118"/>
    <w:rsid w:val="005209DC"/>
    <w:rsid w:val="00521617"/>
    <w:rsid w:val="005234CB"/>
    <w:rsid w:val="005240BE"/>
    <w:rsid w:val="00524186"/>
    <w:rsid w:val="00535443"/>
    <w:rsid w:val="0053635E"/>
    <w:rsid w:val="00540789"/>
    <w:rsid w:val="0054299C"/>
    <w:rsid w:val="00545716"/>
    <w:rsid w:val="0054633D"/>
    <w:rsid w:val="005514EB"/>
    <w:rsid w:val="005548F3"/>
    <w:rsid w:val="005574A7"/>
    <w:rsid w:val="005604E1"/>
    <w:rsid w:val="0056160B"/>
    <w:rsid w:val="005618EB"/>
    <w:rsid w:val="00566335"/>
    <w:rsid w:val="005859AC"/>
    <w:rsid w:val="005A1700"/>
    <w:rsid w:val="005A1F7A"/>
    <w:rsid w:val="005C525A"/>
    <w:rsid w:val="005C6F7D"/>
    <w:rsid w:val="005D0C03"/>
    <w:rsid w:val="005D3E75"/>
    <w:rsid w:val="005D775C"/>
    <w:rsid w:val="005E42D4"/>
    <w:rsid w:val="005E44A0"/>
    <w:rsid w:val="005E6107"/>
    <w:rsid w:val="005E7B32"/>
    <w:rsid w:val="005F0C13"/>
    <w:rsid w:val="005F385F"/>
    <w:rsid w:val="005F400B"/>
    <w:rsid w:val="00600DEB"/>
    <w:rsid w:val="00601B82"/>
    <w:rsid w:val="006038A0"/>
    <w:rsid w:val="00615041"/>
    <w:rsid w:val="006162A6"/>
    <w:rsid w:val="0062044E"/>
    <w:rsid w:val="00621DE3"/>
    <w:rsid w:val="00623177"/>
    <w:rsid w:val="0063192C"/>
    <w:rsid w:val="00632C91"/>
    <w:rsid w:val="00634076"/>
    <w:rsid w:val="00634D3E"/>
    <w:rsid w:val="00640541"/>
    <w:rsid w:val="0064248F"/>
    <w:rsid w:val="00642E25"/>
    <w:rsid w:val="00645FB0"/>
    <w:rsid w:val="0064659F"/>
    <w:rsid w:val="00647386"/>
    <w:rsid w:val="00647DFA"/>
    <w:rsid w:val="006505F0"/>
    <w:rsid w:val="0065129C"/>
    <w:rsid w:val="00652737"/>
    <w:rsid w:val="0065508B"/>
    <w:rsid w:val="00657633"/>
    <w:rsid w:val="006579FE"/>
    <w:rsid w:val="00665512"/>
    <w:rsid w:val="00665AF9"/>
    <w:rsid w:val="00667CF0"/>
    <w:rsid w:val="0067055E"/>
    <w:rsid w:val="00671762"/>
    <w:rsid w:val="0067497F"/>
    <w:rsid w:val="006757BA"/>
    <w:rsid w:val="00681972"/>
    <w:rsid w:val="006929DC"/>
    <w:rsid w:val="006937E4"/>
    <w:rsid w:val="00695336"/>
    <w:rsid w:val="00697432"/>
    <w:rsid w:val="006A55E6"/>
    <w:rsid w:val="006A74C4"/>
    <w:rsid w:val="006A7982"/>
    <w:rsid w:val="006B4E5F"/>
    <w:rsid w:val="006B7FEB"/>
    <w:rsid w:val="006C64EB"/>
    <w:rsid w:val="006C67DF"/>
    <w:rsid w:val="006D1C2B"/>
    <w:rsid w:val="006D2B14"/>
    <w:rsid w:val="006D4971"/>
    <w:rsid w:val="006E2134"/>
    <w:rsid w:val="006F3E8C"/>
    <w:rsid w:val="006F4C71"/>
    <w:rsid w:val="00700D67"/>
    <w:rsid w:val="007010C3"/>
    <w:rsid w:val="00703A19"/>
    <w:rsid w:val="00703EA4"/>
    <w:rsid w:val="00704475"/>
    <w:rsid w:val="00705F4C"/>
    <w:rsid w:val="00707226"/>
    <w:rsid w:val="00712652"/>
    <w:rsid w:val="00715286"/>
    <w:rsid w:val="007159F4"/>
    <w:rsid w:val="00730EF3"/>
    <w:rsid w:val="00732664"/>
    <w:rsid w:val="00734B08"/>
    <w:rsid w:val="00735E11"/>
    <w:rsid w:val="00737E90"/>
    <w:rsid w:val="00741F60"/>
    <w:rsid w:val="00744E2B"/>
    <w:rsid w:val="00750001"/>
    <w:rsid w:val="00752660"/>
    <w:rsid w:val="00753215"/>
    <w:rsid w:val="00754677"/>
    <w:rsid w:val="00754EC9"/>
    <w:rsid w:val="00756344"/>
    <w:rsid w:val="00761D69"/>
    <w:rsid w:val="007629FC"/>
    <w:rsid w:val="00765581"/>
    <w:rsid w:val="00766869"/>
    <w:rsid w:val="00766C6F"/>
    <w:rsid w:val="0077197F"/>
    <w:rsid w:val="00771BD2"/>
    <w:rsid w:val="00774552"/>
    <w:rsid w:val="00776CF4"/>
    <w:rsid w:val="007870D5"/>
    <w:rsid w:val="007950B1"/>
    <w:rsid w:val="007B181F"/>
    <w:rsid w:val="007C0B18"/>
    <w:rsid w:val="007C2F8A"/>
    <w:rsid w:val="007C5EE5"/>
    <w:rsid w:val="007D130B"/>
    <w:rsid w:val="007D1BC2"/>
    <w:rsid w:val="007D2788"/>
    <w:rsid w:val="007D4775"/>
    <w:rsid w:val="007E3446"/>
    <w:rsid w:val="007E3D24"/>
    <w:rsid w:val="007E3E61"/>
    <w:rsid w:val="007E51E0"/>
    <w:rsid w:val="007E7229"/>
    <w:rsid w:val="007F04A0"/>
    <w:rsid w:val="007F28EA"/>
    <w:rsid w:val="007F6B94"/>
    <w:rsid w:val="007F7ABF"/>
    <w:rsid w:val="008061FE"/>
    <w:rsid w:val="00813834"/>
    <w:rsid w:val="00814A43"/>
    <w:rsid w:val="00814CEE"/>
    <w:rsid w:val="00815CF0"/>
    <w:rsid w:val="00820A27"/>
    <w:rsid w:val="00821481"/>
    <w:rsid w:val="008225AF"/>
    <w:rsid w:val="00822FD5"/>
    <w:rsid w:val="00827337"/>
    <w:rsid w:val="00831475"/>
    <w:rsid w:val="008316CC"/>
    <w:rsid w:val="00837219"/>
    <w:rsid w:val="00841798"/>
    <w:rsid w:val="008417B4"/>
    <w:rsid w:val="0084233B"/>
    <w:rsid w:val="0084692C"/>
    <w:rsid w:val="008474AE"/>
    <w:rsid w:val="00854F41"/>
    <w:rsid w:val="008556F0"/>
    <w:rsid w:val="00861418"/>
    <w:rsid w:val="00861BAC"/>
    <w:rsid w:val="0087386A"/>
    <w:rsid w:val="00876AB7"/>
    <w:rsid w:val="0087715D"/>
    <w:rsid w:val="0088432F"/>
    <w:rsid w:val="008854E9"/>
    <w:rsid w:val="008859F9"/>
    <w:rsid w:val="008866E1"/>
    <w:rsid w:val="00887DDD"/>
    <w:rsid w:val="00895E29"/>
    <w:rsid w:val="008A66FE"/>
    <w:rsid w:val="008B0329"/>
    <w:rsid w:val="008B701D"/>
    <w:rsid w:val="008C24BE"/>
    <w:rsid w:val="008C2E2E"/>
    <w:rsid w:val="008C329D"/>
    <w:rsid w:val="008C7666"/>
    <w:rsid w:val="008D14CD"/>
    <w:rsid w:val="008E5F75"/>
    <w:rsid w:val="008F096A"/>
    <w:rsid w:val="008F17F1"/>
    <w:rsid w:val="008F4982"/>
    <w:rsid w:val="008F53F4"/>
    <w:rsid w:val="008F6BB2"/>
    <w:rsid w:val="008F7513"/>
    <w:rsid w:val="00901D6F"/>
    <w:rsid w:val="009029C2"/>
    <w:rsid w:val="00904424"/>
    <w:rsid w:val="00911875"/>
    <w:rsid w:val="009134C7"/>
    <w:rsid w:val="00921283"/>
    <w:rsid w:val="009256CE"/>
    <w:rsid w:val="009278FD"/>
    <w:rsid w:val="00930C2A"/>
    <w:rsid w:val="00930DB9"/>
    <w:rsid w:val="0095689E"/>
    <w:rsid w:val="00957938"/>
    <w:rsid w:val="009657E5"/>
    <w:rsid w:val="00966025"/>
    <w:rsid w:val="009670AC"/>
    <w:rsid w:val="00967D34"/>
    <w:rsid w:val="0097109D"/>
    <w:rsid w:val="00971F67"/>
    <w:rsid w:val="00973F0B"/>
    <w:rsid w:val="009757A6"/>
    <w:rsid w:val="009775D3"/>
    <w:rsid w:val="0099291F"/>
    <w:rsid w:val="00994D3E"/>
    <w:rsid w:val="009971B2"/>
    <w:rsid w:val="009A2C27"/>
    <w:rsid w:val="009B0634"/>
    <w:rsid w:val="009B4AD9"/>
    <w:rsid w:val="009C4295"/>
    <w:rsid w:val="009D2EA5"/>
    <w:rsid w:val="009D3728"/>
    <w:rsid w:val="009D511B"/>
    <w:rsid w:val="009D6204"/>
    <w:rsid w:val="009E1874"/>
    <w:rsid w:val="009E2E09"/>
    <w:rsid w:val="009E3DAE"/>
    <w:rsid w:val="00A011DC"/>
    <w:rsid w:val="00A04431"/>
    <w:rsid w:val="00A05D32"/>
    <w:rsid w:val="00A12B94"/>
    <w:rsid w:val="00A157D2"/>
    <w:rsid w:val="00A16838"/>
    <w:rsid w:val="00A17423"/>
    <w:rsid w:val="00A217C7"/>
    <w:rsid w:val="00A26378"/>
    <w:rsid w:val="00A33668"/>
    <w:rsid w:val="00A35A6D"/>
    <w:rsid w:val="00A420DD"/>
    <w:rsid w:val="00A42F18"/>
    <w:rsid w:val="00A432B5"/>
    <w:rsid w:val="00A464E7"/>
    <w:rsid w:val="00A50014"/>
    <w:rsid w:val="00A52595"/>
    <w:rsid w:val="00A5434B"/>
    <w:rsid w:val="00A55264"/>
    <w:rsid w:val="00A578B0"/>
    <w:rsid w:val="00A6316D"/>
    <w:rsid w:val="00A634C1"/>
    <w:rsid w:val="00A708A5"/>
    <w:rsid w:val="00A71F73"/>
    <w:rsid w:val="00A733BB"/>
    <w:rsid w:val="00A9151C"/>
    <w:rsid w:val="00A9342D"/>
    <w:rsid w:val="00A94B1D"/>
    <w:rsid w:val="00A96933"/>
    <w:rsid w:val="00A97DAC"/>
    <w:rsid w:val="00AA11FB"/>
    <w:rsid w:val="00AA6328"/>
    <w:rsid w:val="00AB45A7"/>
    <w:rsid w:val="00AB5471"/>
    <w:rsid w:val="00AC16F4"/>
    <w:rsid w:val="00AC1AE9"/>
    <w:rsid w:val="00AD19EA"/>
    <w:rsid w:val="00AD625E"/>
    <w:rsid w:val="00AD6DF8"/>
    <w:rsid w:val="00AE1D4B"/>
    <w:rsid w:val="00AE2527"/>
    <w:rsid w:val="00AE2664"/>
    <w:rsid w:val="00AF731F"/>
    <w:rsid w:val="00B03873"/>
    <w:rsid w:val="00B053A0"/>
    <w:rsid w:val="00B07682"/>
    <w:rsid w:val="00B10AA5"/>
    <w:rsid w:val="00B116B4"/>
    <w:rsid w:val="00B162CE"/>
    <w:rsid w:val="00B17F5F"/>
    <w:rsid w:val="00B17F82"/>
    <w:rsid w:val="00B212A6"/>
    <w:rsid w:val="00B24A17"/>
    <w:rsid w:val="00B266E7"/>
    <w:rsid w:val="00B378E0"/>
    <w:rsid w:val="00B40C9E"/>
    <w:rsid w:val="00B418F2"/>
    <w:rsid w:val="00B4716A"/>
    <w:rsid w:val="00B50DE2"/>
    <w:rsid w:val="00B51923"/>
    <w:rsid w:val="00B52B9C"/>
    <w:rsid w:val="00B64876"/>
    <w:rsid w:val="00B652AF"/>
    <w:rsid w:val="00B71D28"/>
    <w:rsid w:val="00B726CA"/>
    <w:rsid w:val="00B769E4"/>
    <w:rsid w:val="00B802BD"/>
    <w:rsid w:val="00B80303"/>
    <w:rsid w:val="00B81223"/>
    <w:rsid w:val="00B9386C"/>
    <w:rsid w:val="00B96629"/>
    <w:rsid w:val="00B96E6C"/>
    <w:rsid w:val="00BA1925"/>
    <w:rsid w:val="00BA37C6"/>
    <w:rsid w:val="00BB04A0"/>
    <w:rsid w:val="00BB7790"/>
    <w:rsid w:val="00BC0102"/>
    <w:rsid w:val="00BC0346"/>
    <w:rsid w:val="00BC290E"/>
    <w:rsid w:val="00BC4D28"/>
    <w:rsid w:val="00BC4D2B"/>
    <w:rsid w:val="00BC71C5"/>
    <w:rsid w:val="00BC7695"/>
    <w:rsid w:val="00BD0124"/>
    <w:rsid w:val="00BD4BA1"/>
    <w:rsid w:val="00BD7FF9"/>
    <w:rsid w:val="00BE06F1"/>
    <w:rsid w:val="00BE16E8"/>
    <w:rsid w:val="00BE1EF1"/>
    <w:rsid w:val="00BF1510"/>
    <w:rsid w:val="00BF253E"/>
    <w:rsid w:val="00BF347C"/>
    <w:rsid w:val="00BF7E2D"/>
    <w:rsid w:val="00C00142"/>
    <w:rsid w:val="00C108A1"/>
    <w:rsid w:val="00C12080"/>
    <w:rsid w:val="00C12DE7"/>
    <w:rsid w:val="00C1448A"/>
    <w:rsid w:val="00C16F99"/>
    <w:rsid w:val="00C208C7"/>
    <w:rsid w:val="00C22CF4"/>
    <w:rsid w:val="00C22D20"/>
    <w:rsid w:val="00C23456"/>
    <w:rsid w:val="00C254A3"/>
    <w:rsid w:val="00C26827"/>
    <w:rsid w:val="00C27A3D"/>
    <w:rsid w:val="00C300F4"/>
    <w:rsid w:val="00C31BA4"/>
    <w:rsid w:val="00C329BE"/>
    <w:rsid w:val="00C363D8"/>
    <w:rsid w:val="00C37C99"/>
    <w:rsid w:val="00C474FB"/>
    <w:rsid w:val="00C54772"/>
    <w:rsid w:val="00C54A45"/>
    <w:rsid w:val="00C563FA"/>
    <w:rsid w:val="00C6396E"/>
    <w:rsid w:val="00C70F18"/>
    <w:rsid w:val="00C719D7"/>
    <w:rsid w:val="00C71E69"/>
    <w:rsid w:val="00C740C2"/>
    <w:rsid w:val="00C74DA4"/>
    <w:rsid w:val="00C77074"/>
    <w:rsid w:val="00C86008"/>
    <w:rsid w:val="00C95CC8"/>
    <w:rsid w:val="00CA0767"/>
    <w:rsid w:val="00CA0A52"/>
    <w:rsid w:val="00CA12AE"/>
    <w:rsid w:val="00CA6F6A"/>
    <w:rsid w:val="00CA79FF"/>
    <w:rsid w:val="00CB454A"/>
    <w:rsid w:val="00CC3B38"/>
    <w:rsid w:val="00CC5F79"/>
    <w:rsid w:val="00CC6895"/>
    <w:rsid w:val="00CC7CB3"/>
    <w:rsid w:val="00CD0D1C"/>
    <w:rsid w:val="00CD4A09"/>
    <w:rsid w:val="00CE0A95"/>
    <w:rsid w:val="00CF17A9"/>
    <w:rsid w:val="00D00234"/>
    <w:rsid w:val="00D023F1"/>
    <w:rsid w:val="00D02887"/>
    <w:rsid w:val="00D03BF8"/>
    <w:rsid w:val="00D03C03"/>
    <w:rsid w:val="00D1038D"/>
    <w:rsid w:val="00D11B78"/>
    <w:rsid w:val="00D12AA6"/>
    <w:rsid w:val="00D13274"/>
    <w:rsid w:val="00D22973"/>
    <w:rsid w:val="00D237E8"/>
    <w:rsid w:val="00D420D9"/>
    <w:rsid w:val="00D43A34"/>
    <w:rsid w:val="00D43B1B"/>
    <w:rsid w:val="00D440FF"/>
    <w:rsid w:val="00D461C6"/>
    <w:rsid w:val="00D50185"/>
    <w:rsid w:val="00D509F3"/>
    <w:rsid w:val="00D50F8A"/>
    <w:rsid w:val="00D51909"/>
    <w:rsid w:val="00D51BD6"/>
    <w:rsid w:val="00D62C3E"/>
    <w:rsid w:val="00D65D8E"/>
    <w:rsid w:val="00D666F7"/>
    <w:rsid w:val="00D72620"/>
    <w:rsid w:val="00D735F1"/>
    <w:rsid w:val="00D742F1"/>
    <w:rsid w:val="00D759B9"/>
    <w:rsid w:val="00D80BF9"/>
    <w:rsid w:val="00D82DAB"/>
    <w:rsid w:val="00D87590"/>
    <w:rsid w:val="00D9107E"/>
    <w:rsid w:val="00D91980"/>
    <w:rsid w:val="00D97E2F"/>
    <w:rsid w:val="00DA2456"/>
    <w:rsid w:val="00DA2683"/>
    <w:rsid w:val="00DA63D3"/>
    <w:rsid w:val="00DB0B53"/>
    <w:rsid w:val="00DB103C"/>
    <w:rsid w:val="00DB16A1"/>
    <w:rsid w:val="00DB3086"/>
    <w:rsid w:val="00DC0359"/>
    <w:rsid w:val="00DC2AC9"/>
    <w:rsid w:val="00DC2DB4"/>
    <w:rsid w:val="00DC3720"/>
    <w:rsid w:val="00DD0EFC"/>
    <w:rsid w:val="00DE1425"/>
    <w:rsid w:val="00DE30B1"/>
    <w:rsid w:val="00DE6A32"/>
    <w:rsid w:val="00DE6EF7"/>
    <w:rsid w:val="00DF1385"/>
    <w:rsid w:val="00DF49FC"/>
    <w:rsid w:val="00E03318"/>
    <w:rsid w:val="00E04C46"/>
    <w:rsid w:val="00E04F33"/>
    <w:rsid w:val="00E06EC5"/>
    <w:rsid w:val="00E07F59"/>
    <w:rsid w:val="00E10F41"/>
    <w:rsid w:val="00E147BA"/>
    <w:rsid w:val="00E16107"/>
    <w:rsid w:val="00E213BF"/>
    <w:rsid w:val="00E233EE"/>
    <w:rsid w:val="00E319E7"/>
    <w:rsid w:val="00E32549"/>
    <w:rsid w:val="00E35695"/>
    <w:rsid w:val="00E35F6C"/>
    <w:rsid w:val="00E366E7"/>
    <w:rsid w:val="00E43F1B"/>
    <w:rsid w:val="00E5300E"/>
    <w:rsid w:val="00E552A2"/>
    <w:rsid w:val="00E56614"/>
    <w:rsid w:val="00E5673A"/>
    <w:rsid w:val="00E569CA"/>
    <w:rsid w:val="00E60D9E"/>
    <w:rsid w:val="00E60DFB"/>
    <w:rsid w:val="00E61195"/>
    <w:rsid w:val="00E625C8"/>
    <w:rsid w:val="00E628DB"/>
    <w:rsid w:val="00E7100F"/>
    <w:rsid w:val="00E75580"/>
    <w:rsid w:val="00E80EE9"/>
    <w:rsid w:val="00E81266"/>
    <w:rsid w:val="00E82D3E"/>
    <w:rsid w:val="00E913CA"/>
    <w:rsid w:val="00E921B8"/>
    <w:rsid w:val="00E950E4"/>
    <w:rsid w:val="00E95CA7"/>
    <w:rsid w:val="00EA21DF"/>
    <w:rsid w:val="00EA4D76"/>
    <w:rsid w:val="00EA5F42"/>
    <w:rsid w:val="00EA794C"/>
    <w:rsid w:val="00EB087C"/>
    <w:rsid w:val="00EC1BF7"/>
    <w:rsid w:val="00EC3B88"/>
    <w:rsid w:val="00EC4580"/>
    <w:rsid w:val="00EC5366"/>
    <w:rsid w:val="00ED6814"/>
    <w:rsid w:val="00ED6D1C"/>
    <w:rsid w:val="00EE0BEB"/>
    <w:rsid w:val="00EE18C6"/>
    <w:rsid w:val="00EE2B3B"/>
    <w:rsid w:val="00EE35A8"/>
    <w:rsid w:val="00EE3F53"/>
    <w:rsid w:val="00EF278F"/>
    <w:rsid w:val="00EF38FA"/>
    <w:rsid w:val="00EF4A00"/>
    <w:rsid w:val="00EF5ADA"/>
    <w:rsid w:val="00F017EE"/>
    <w:rsid w:val="00F06F26"/>
    <w:rsid w:val="00F123D2"/>
    <w:rsid w:val="00F148CD"/>
    <w:rsid w:val="00F1655F"/>
    <w:rsid w:val="00F216EF"/>
    <w:rsid w:val="00F21F2D"/>
    <w:rsid w:val="00F223DF"/>
    <w:rsid w:val="00F26841"/>
    <w:rsid w:val="00F30CD7"/>
    <w:rsid w:val="00F41D78"/>
    <w:rsid w:val="00F42BEB"/>
    <w:rsid w:val="00F4525C"/>
    <w:rsid w:val="00F4556D"/>
    <w:rsid w:val="00F52443"/>
    <w:rsid w:val="00F539A0"/>
    <w:rsid w:val="00F544CC"/>
    <w:rsid w:val="00F628EC"/>
    <w:rsid w:val="00F6340F"/>
    <w:rsid w:val="00F63DC8"/>
    <w:rsid w:val="00F65A20"/>
    <w:rsid w:val="00F75CE6"/>
    <w:rsid w:val="00F83519"/>
    <w:rsid w:val="00F85C41"/>
    <w:rsid w:val="00F9204E"/>
    <w:rsid w:val="00FA1D15"/>
    <w:rsid w:val="00FA329B"/>
    <w:rsid w:val="00FA4B6E"/>
    <w:rsid w:val="00FA7862"/>
    <w:rsid w:val="00FB5B5F"/>
    <w:rsid w:val="00FB6EC9"/>
    <w:rsid w:val="00FB76BF"/>
    <w:rsid w:val="00FC0121"/>
    <w:rsid w:val="00FD00D6"/>
    <w:rsid w:val="00FD01C8"/>
    <w:rsid w:val="00FD03B0"/>
    <w:rsid w:val="00FD6DA5"/>
    <w:rsid w:val="00FD7E56"/>
    <w:rsid w:val="00FE2D67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89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79FE"/>
    <w:pPr>
      <w:spacing w:before="240" w:after="80" w:line="264" w:lineRule="auto"/>
      <w:jc w:val="both"/>
      <w:outlineLvl w:val="1"/>
    </w:pPr>
    <w:rPr>
      <w:rFonts w:ascii="Times New Roman" w:eastAsia="Times New Roman" w:hAnsi="Times New Roman"/>
      <w:bCs/>
      <w:color w:val="632423"/>
      <w:spacing w:val="20"/>
      <w:sz w:val="2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5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650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901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9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0541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0A2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20A27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820A2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0A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0A27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20A27"/>
    <w:rPr>
      <w:vertAlign w:val="superscript"/>
    </w:rPr>
  </w:style>
  <w:style w:type="table" w:styleId="Grigliatabella">
    <w:name w:val="Table Grid"/>
    <w:basedOn w:val="Tabellanormale"/>
    <w:uiPriority w:val="1"/>
    <w:rsid w:val="0090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6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C9"/>
  </w:style>
  <w:style w:type="paragraph" w:styleId="Pidipagina">
    <w:name w:val="footer"/>
    <w:basedOn w:val="Normale"/>
    <w:link w:val="PidipaginaCarattere"/>
    <w:uiPriority w:val="99"/>
    <w:unhideWhenUsed/>
    <w:rsid w:val="00FB6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C9"/>
  </w:style>
  <w:style w:type="paragraph" w:customStyle="1" w:styleId="Pidipaginadispari">
    <w:name w:val="Piè di pagina dispari"/>
    <w:basedOn w:val="Normale"/>
    <w:uiPriority w:val="39"/>
    <w:unhideWhenUsed/>
    <w:qFormat/>
    <w:rsid w:val="00FB6EC9"/>
    <w:pPr>
      <w:pBdr>
        <w:top w:val="single" w:sz="4" w:space="1" w:color="4F81BD"/>
      </w:pBdr>
      <w:spacing w:after="180" w:line="264" w:lineRule="auto"/>
      <w:jc w:val="right"/>
    </w:pPr>
    <w:rPr>
      <w:rFonts w:eastAsia="Times New Roman"/>
      <w:color w:val="1F497D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77197F"/>
    <w:pPr>
      <w:spacing w:after="0" w:line="240" w:lineRule="auto"/>
      <w:jc w:val="both"/>
    </w:pPr>
    <w:rPr>
      <w:rFonts w:eastAsia="Times New Roman"/>
      <w:sz w:val="23"/>
      <w:szCs w:val="23"/>
    </w:rPr>
  </w:style>
  <w:style w:type="character" w:customStyle="1" w:styleId="NessunaspaziaturaCarattere">
    <w:name w:val="Nessuna spaziatura Carattere"/>
    <w:link w:val="Nessunaspaziatura"/>
    <w:uiPriority w:val="99"/>
    <w:rsid w:val="0077197F"/>
    <w:rPr>
      <w:rFonts w:eastAsia="Times New Roman"/>
      <w:sz w:val="23"/>
      <w:szCs w:val="23"/>
    </w:rPr>
  </w:style>
  <w:style w:type="character" w:customStyle="1" w:styleId="Titolo2Carattere">
    <w:name w:val="Titolo 2 Carattere"/>
    <w:link w:val="Titolo2"/>
    <w:uiPriority w:val="9"/>
    <w:rsid w:val="006579FE"/>
    <w:rPr>
      <w:rFonts w:ascii="Times New Roman" w:eastAsia="Times New Roman" w:hAnsi="Times New Roman"/>
      <w:bCs/>
      <w:color w:val="632423"/>
      <w:spacing w:val="20"/>
      <w:sz w:val="26"/>
      <w:szCs w:val="28"/>
    </w:rPr>
  </w:style>
  <w:style w:type="paragraph" w:customStyle="1" w:styleId="Default">
    <w:name w:val="Default"/>
    <w:rsid w:val="00700D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0871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1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871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14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71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04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A3CBB-F502-466D-AD4F-8FB73376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pasquale.vitaliano</dc:creator>
  <cp:lastModifiedBy>vincenzo.ferrentino</cp:lastModifiedBy>
  <cp:revision>9</cp:revision>
  <cp:lastPrinted>2019-06-05T11:34:00Z</cp:lastPrinted>
  <dcterms:created xsi:type="dcterms:W3CDTF">2019-05-31T14:10:00Z</dcterms:created>
  <dcterms:modified xsi:type="dcterms:W3CDTF">2019-06-20T14:02:00Z</dcterms:modified>
</cp:coreProperties>
</file>